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1" w:rsidRPr="009F3823" w:rsidRDefault="00A030C0" w:rsidP="0035297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F3823">
        <w:rPr>
          <w:rFonts w:ascii="Times New Roman" w:hAnsi="Times New Roman" w:cs="Times New Roman"/>
          <w:b/>
          <w:bCs/>
          <w:sz w:val="40"/>
          <w:szCs w:val="40"/>
        </w:rPr>
        <w:t>Inverse Square Law</w:t>
      </w:r>
      <w:r w:rsidR="009F3823">
        <w:rPr>
          <w:rFonts w:ascii="Times New Roman" w:hAnsi="Times New Roman" w:cs="Times New Roman"/>
          <w:b/>
          <w:bCs/>
          <w:sz w:val="40"/>
          <w:szCs w:val="40"/>
        </w:rPr>
        <w:t xml:space="preserve"> of Radiation Intensity Variation </w:t>
      </w:r>
    </w:p>
    <w:p w:rsidR="000B6621" w:rsidRPr="009F3823" w:rsidRDefault="000B6621" w:rsidP="000B662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7BE5" w:rsidRPr="009F3823" w:rsidRDefault="00197BE5" w:rsidP="002A048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7BE5" w:rsidRPr="009F3823" w:rsidRDefault="00197BE5" w:rsidP="00197BE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3823">
        <w:rPr>
          <w:rFonts w:ascii="Times New Roman" w:hAnsi="Times New Roman" w:cs="Times New Roman"/>
          <w:b/>
          <w:bCs/>
          <w:sz w:val="28"/>
          <w:szCs w:val="28"/>
        </w:rPr>
        <w:t>Purpose and Relevant Equations</w:t>
      </w:r>
    </w:p>
    <w:p w:rsidR="00197BE5" w:rsidRPr="009F3823" w:rsidRDefault="00197BE5" w:rsidP="00197BE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0481" w:rsidRPr="009F3823" w:rsidRDefault="002A0481" w:rsidP="00B34FA1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There are many similarities between ordinary light rays and gamma rays. They are both considered to be electromagnetic radiation;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 xml:space="preserve">hence they obey the classical </w:t>
      </w:r>
      <w:r w:rsidR="00B34FA1">
        <w:rPr>
          <w:rFonts w:ascii="Times New Roman" w:hAnsi="Times New Roman" w:cs="Times New Roman"/>
          <w:sz w:val="28"/>
          <w:szCs w:val="28"/>
        </w:rPr>
        <w:t>E</w:t>
      </w:r>
      <w:r w:rsidRPr="009F3823">
        <w:rPr>
          <w:rFonts w:ascii="Times New Roman" w:hAnsi="Times New Roman" w:cs="Times New Roman"/>
          <w:sz w:val="28"/>
          <w:szCs w:val="28"/>
        </w:rPr>
        <w:t>quation</w:t>
      </w:r>
      <w:r w:rsidR="00B34FA1">
        <w:rPr>
          <w:rFonts w:ascii="Times New Roman" w:hAnsi="Times New Roman" w:cs="Times New Roman"/>
          <w:sz w:val="28"/>
          <w:szCs w:val="28"/>
        </w:rPr>
        <w:t xml:space="preserve"> </w:t>
      </w:r>
      <w:r w:rsidR="00B34FA1" w:rsidRPr="00B34F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34FA1">
        <w:rPr>
          <w:rFonts w:ascii="Times New Roman" w:hAnsi="Times New Roman" w:cs="Times New Roman"/>
          <w:sz w:val="28"/>
          <w:szCs w:val="28"/>
        </w:rPr>
        <w:t>:</w:t>
      </w:r>
    </w:p>
    <w:p w:rsidR="00197BE5" w:rsidRDefault="00B34FA1" w:rsidP="00B34FA1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3355" cy="58280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43" cy="5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BE5" w:rsidRPr="009F3823" w:rsidRDefault="00197BE5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W</w:t>
      </w:r>
      <w:r w:rsidR="002A0481" w:rsidRPr="009F3823">
        <w:rPr>
          <w:rFonts w:ascii="Times New Roman" w:hAnsi="Times New Roman" w:cs="Times New Roman"/>
          <w:sz w:val="28"/>
          <w:szCs w:val="28"/>
        </w:rPr>
        <w:t>here</w:t>
      </w:r>
      <w:r w:rsidRPr="009F3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E = energy of the photon in ergs,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v = the frequency of the radiation in cycles/second,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h = Planck’s constant (6.624 x 10–27 ergs • s).</w:t>
      </w:r>
    </w:p>
    <w:p w:rsidR="00197BE5" w:rsidRPr="009F3823" w:rsidRDefault="00197BE5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D6D96" w:rsidRDefault="002A0481" w:rsidP="007D6D9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Therefore, in explaining the inverse square law it is convenient to make the analogy between a light source and a gamma-ray source.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Let us assume that we have a light source that emits light photons at a rate, n</w:t>
      </w:r>
      <w:r w:rsidRPr="007D6D9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F3823">
        <w:rPr>
          <w:rFonts w:ascii="Times New Roman" w:hAnsi="Times New Roman" w:cs="Times New Roman"/>
          <w:sz w:val="28"/>
          <w:szCs w:val="28"/>
        </w:rPr>
        <w:t xml:space="preserve"> photons/second. It is reasonable to assume that these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photons are given off in an isotopic manner, that is, equally in all directions. If we place the light source in the center of a clear plastic</w:t>
      </w:r>
      <w:r w:rsidR="007D6D96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spherical shell, it is quite easy to measure the number of light photons per second for each cm</w:t>
      </w:r>
      <w:r w:rsidRPr="007D6D9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3823">
        <w:rPr>
          <w:rFonts w:ascii="Times New Roman" w:hAnsi="Times New Roman" w:cs="Times New Roman"/>
          <w:sz w:val="28"/>
          <w:szCs w:val="28"/>
        </w:rPr>
        <w:t xml:space="preserve"> of the spherical shell. </w:t>
      </w:r>
    </w:p>
    <w:p w:rsidR="002A0481" w:rsidRPr="009F3823" w:rsidRDefault="002A0481" w:rsidP="007D6D9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This intensity is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given by</w:t>
      </w:r>
      <w:r w:rsidR="00B34FA1">
        <w:rPr>
          <w:rFonts w:ascii="Times New Roman" w:hAnsi="Times New Roman" w:cs="Times New Roman"/>
          <w:sz w:val="28"/>
          <w:szCs w:val="28"/>
        </w:rPr>
        <w:t xml:space="preserve"> Equation </w:t>
      </w:r>
      <w:r w:rsidR="00B34FA1" w:rsidRPr="00B34F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34FA1">
        <w:rPr>
          <w:rFonts w:ascii="Times New Roman" w:hAnsi="Times New Roman" w:cs="Times New Roman"/>
          <w:sz w:val="28"/>
          <w:szCs w:val="28"/>
        </w:rPr>
        <w:t>:</w:t>
      </w:r>
    </w:p>
    <w:p w:rsidR="00197BE5" w:rsidRPr="009F3823" w:rsidRDefault="00197BE5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97BE5" w:rsidRPr="009F3823" w:rsidRDefault="00B34FA1" w:rsidP="00B34FA1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5850" cy="77147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36" cy="77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Where</w:t>
      </w:r>
    </w:p>
    <w:p w:rsidR="00197BE5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3823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9F382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proofErr w:type="gramEnd"/>
      <w:r w:rsidRPr="009F3823">
        <w:rPr>
          <w:rFonts w:ascii="Times New Roman" w:hAnsi="Times New Roman" w:cs="Times New Roman"/>
          <w:sz w:val="28"/>
          <w:szCs w:val="28"/>
        </w:rPr>
        <w:t xml:space="preserve"> is the total number of photons per second from the source,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BE5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3823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9F382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s</w:t>
      </w:r>
      <w:proofErr w:type="spellEnd"/>
      <w:proofErr w:type="gramEnd"/>
      <w:r w:rsidRPr="009F38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 xml:space="preserve">is the radius from the central source of light to the surface of the sphere, </w:t>
      </w:r>
    </w:p>
    <w:p w:rsidR="002A0481" w:rsidRPr="009F3823" w:rsidRDefault="002A0481" w:rsidP="009F3823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382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4πr</w:t>
      </w:r>
      <w:r w:rsidRPr="009F3823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9F382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F3823">
        <w:rPr>
          <w:rFonts w:ascii="Times New Roman" w:hAnsi="Times New Roman" w:cs="Times New Roman"/>
          <w:sz w:val="28"/>
          <w:szCs w:val="28"/>
        </w:rPr>
        <w:t>= the total area of the sphere in cm</w:t>
      </w:r>
      <w:r w:rsidRPr="009F382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3823">
        <w:rPr>
          <w:rFonts w:ascii="Times New Roman" w:hAnsi="Times New Roman" w:cs="Times New Roman"/>
          <w:sz w:val="28"/>
          <w:szCs w:val="28"/>
        </w:rPr>
        <w:t>.</w:t>
      </w:r>
    </w:p>
    <w:p w:rsidR="00197BE5" w:rsidRPr="009F3823" w:rsidRDefault="00197BE5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F3823">
        <w:rPr>
          <w:rFonts w:ascii="Times New Roman" w:hAnsi="Times New Roman" w:cs="Times New Roman"/>
          <w:b/>
          <w:bCs/>
          <w:sz w:val="28"/>
          <w:szCs w:val="28"/>
        </w:rPr>
        <w:t>Since n</w:t>
      </w:r>
      <w:r w:rsidRPr="009F3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0</w:t>
      </w:r>
      <w:r w:rsidRPr="009F3823">
        <w:rPr>
          <w:rFonts w:ascii="Times New Roman" w:hAnsi="Times New Roman" w:cs="Times New Roman"/>
          <w:b/>
          <w:bCs/>
          <w:sz w:val="28"/>
          <w:szCs w:val="28"/>
        </w:rPr>
        <w:t xml:space="preserve"> and 4π are constants, I</w:t>
      </w:r>
      <w:r w:rsidRPr="009F3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0</w:t>
      </w:r>
      <w:r w:rsidRPr="009F3823">
        <w:rPr>
          <w:rFonts w:ascii="Times New Roman" w:hAnsi="Times New Roman" w:cs="Times New Roman"/>
          <w:b/>
          <w:bCs/>
          <w:sz w:val="28"/>
          <w:szCs w:val="28"/>
        </w:rPr>
        <w:t xml:space="preserve"> is seen to vary as 1/r</w:t>
      </w:r>
      <w:r w:rsidRPr="009F3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s</w:t>
      </w:r>
      <w:r w:rsidRPr="009F38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9F3823">
        <w:rPr>
          <w:rFonts w:ascii="Times New Roman" w:hAnsi="Times New Roman" w:cs="Times New Roman"/>
          <w:b/>
          <w:bCs/>
          <w:sz w:val="28"/>
          <w:szCs w:val="28"/>
        </w:rPr>
        <w:t>. This is the inverse square law.</w:t>
      </w:r>
    </w:p>
    <w:p w:rsidR="00B34FA1" w:rsidRDefault="00B34FA1">
      <w:pPr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7BE5" w:rsidRDefault="00197BE5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34FA1" w:rsidRDefault="00B34FA1" w:rsidP="00B34FA1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34FA1" w:rsidRPr="009F3823" w:rsidRDefault="00B34FA1" w:rsidP="00B34FA1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481" w:rsidRPr="009F3823" w:rsidRDefault="002A0481" w:rsidP="00B34FA1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For a radioisotope, whose half-life is extremely long compared to the time taken to implement the series of measurements in this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 xml:space="preserve">experiment, </w:t>
      </w:r>
      <w:r w:rsidRPr="00B34FA1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34FA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9F3823">
        <w:rPr>
          <w:rFonts w:ascii="Times New Roman" w:hAnsi="Times New Roman" w:cs="Times New Roman"/>
          <w:sz w:val="28"/>
          <w:szCs w:val="28"/>
        </w:rPr>
        <w:t xml:space="preserve"> is synonymous with the activity, </w:t>
      </w:r>
      <w:r w:rsidRPr="00B34FA1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B34FA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9F3823">
        <w:rPr>
          <w:rFonts w:ascii="Times New Roman" w:hAnsi="Times New Roman" w:cs="Times New Roman"/>
          <w:sz w:val="28"/>
          <w:szCs w:val="28"/>
        </w:rPr>
        <w:t xml:space="preserve">, of the radioactive source. Consequently, </w:t>
      </w:r>
      <w:proofErr w:type="gramStart"/>
      <w:r w:rsidRPr="009F3823">
        <w:rPr>
          <w:rFonts w:ascii="Times New Roman" w:hAnsi="Times New Roman" w:cs="Times New Roman"/>
          <w:sz w:val="28"/>
          <w:szCs w:val="28"/>
        </w:rPr>
        <w:t xml:space="preserve">Equation </w:t>
      </w:r>
      <w:r w:rsidR="00B34FA1">
        <w:rPr>
          <w:rFonts w:ascii="Times New Roman" w:hAnsi="Times New Roman" w:cs="Times New Roman"/>
          <w:sz w:val="28"/>
          <w:szCs w:val="28"/>
        </w:rPr>
        <w:t xml:space="preserve"> </w:t>
      </w:r>
      <w:r w:rsidR="00B34FA1" w:rsidRPr="00B34FA1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9F3823">
        <w:rPr>
          <w:rFonts w:ascii="Times New Roman" w:hAnsi="Times New Roman" w:cs="Times New Roman"/>
          <w:sz w:val="28"/>
          <w:szCs w:val="28"/>
        </w:rPr>
        <w:t xml:space="preserve"> can be expressed as</w:t>
      </w:r>
      <w:r w:rsidR="009F5C08">
        <w:rPr>
          <w:rFonts w:ascii="Times New Roman" w:hAnsi="Times New Roman" w:cs="Times New Roman"/>
          <w:sz w:val="28"/>
          <w:szCs w:val="28"/>
        </w:rPr>
        <w:t xml:space="preserve"> Equation 3:</w:t>
      </w:r>
    </w:p>
    <w:p w:rsidR="00197BE5" w:rsidRDefault="00197BE5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34FA1" w:rsidRPr="009F3823" w:rsidRDefault="00B34FA1" w:rsidP="00B34FA1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0057" cy="76434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924" cy="76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Where</w:t>
      </w:r>
    </w:p>
    <w:p w:rsidR="0051600A" w:rsidRPr="009F3823" w:rsidRDefault="002A0481" w:rsidP="0051600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3823">
        <w:rPr>
          <w:rFonts w:ascii="Times New Roman" w:hAnsi="Times New Roman" w:cs="Times New Roman"/>
          <w:sz w:val="28"/>
          <w:szCs w:val="28"/>
        </w:rPr>
        <w:t>r</w:t>
      </w:r>
      <w:r w:rsidRPr="009F382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F382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is the true counting rate derived from the GM tube,</w:t>
      </w:r>
      <w:r w:rsidR="0051600A" w:rsidRPr="009F3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00A" w:rsidRPr="009F3823" w:rsidRDefault="002A0481" w:rsidP="0051600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N is the number of counts measured in the counting time T (corrected for dead time and background),</w:t>
      </w:r>
      <w:r w:rsidR="0051600A" w:rsidRPr="009F3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481" w:rsidRPr="009F3823" w:rsidRDefault="002A0481" w:rsidP="0051600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A</w:t>
      </w:r>
      <w:r w:rsidRPr="009F382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F3823">
        <w:rPr>
          <w:rFonts w:ascii="Times New Roman" w:hAnsi="Times New Roman" w:cs="Times New Roman"/>
          <w:sz w:val="28"/>
          <w:szCs w:val="28"/>
        </w:rPr>
        <w:t xml:space="preserve"> is the activity of the radioactive source,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Cambria Math" w:hAnsi="Cambria Math" w:cs="Cambria Math"/>
          <w:sz w:val="28"/>
          <w:szCs w:val="28"/>
        </w:rPr>
        <w:t>∈</w:t>
      </w:r>
      <w:proofErr w:type="spellStart"/>
      <w:r w:rsidRPr="009F3823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9F3823">
        <w:rPr>
          <w:rFonts w:ascii="Times New Roman" w:hAnsi="Times New Roman" w:cs="Times New Roman"/>
          <w:sz w:val="28"/>
          <w:szCs w:val="28"/>
        </w:rPr>
        <w:t xml:space="preserve"> is the intrinsic efficiency of the GM tube for detecting the gamma rays,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3823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9F382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d</w:t>
      </w:r>
      <w:proofErr w:type="gramEnd"/>
      <w:r w:rsidRPr="009F3823">
        <w:rPr>
          <w:rFonts w:ascii="Times New Roman" w:hAnsi="Times New Roman" w:cs="Times New Roman"/>
          <w:sz w:val="28"/>
          <w:szCs w:val="28"/>
        </w:rPr>
        <w:t xml:space="preserve"> is the effective sensitive area of the detector at its entrance window, and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3823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9F382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s</w:t>
      </w:r>
      <w:proofErr w:type="spellEnd"/>
      <w:proofErr w:type="gramEnd"/>
      <w:r w:rsidRPr="009F38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is the distance from the point source to the entrance window of the detector.</w:t>
      </w: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481" w:rsidRPr="009F3823" w:rsidRDefault="002A0481" w:rsidP="009F5C0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The factors in Equation (</w:t>
      </w:r>
      <w:r w:rsidR="009F5C08">
        <w:rPr>
          <w:rFonts w:ascii="Times New Roman" w:hAnsi="Times New Roman" w:cs="Times New Roman"/>
          <w:sz w:val="28"/>
          <w:szCs w:val="28"/>
        </w:rPr>
        <w:t>3</w:t>
      </w:r>
      <w:r w:rsidRPr="009F3823">
        <w:rPr>
          <w:rFonts w:ascii="Times New Roman" w:hAnsi="Times New Roman" w:cs="Times New Roman"/>
          <w:sz w:val="28"/>
          <w:szCs w:val="28"/>
        </w:rPr>
        <w:t>) can be understood as follows. The effective sensitive area at the input to the detector intercepts a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fraction, a</w:t>
      </w:r>
      <w:r w:rsidRPr="00B34FA1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9F3823">
        <w:rPr>
          <w:rFonts w:ascii="Times New Roman" w:hAnsi="Times New Roman" w:cs="Times New Roman"/>
          <w:sz w:val="28"/>
          <w:szCs w:val="28"/>
        </w:rPr>
        <w:t>/4πr</w:t>
      </w:r>
      <w:r w:rsidRPr="00F41B34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F41B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3823">
        <w:rPr>
          <w:rFonts w:ascii="Times New Roman" w:hAnsi="Times New Roman" w:cs="Times New Roman"/>
          <w:sz w:val="28"/>
          <w:szCs w:val="28"/>
        </w:rPr>
        <w:t xml:space="preserve">, of the total area of the sphere of radius </w:t>
      </w:r>
      <w:proofErr w:type="spellStart"/>
      <w:r w:rsidRPr="009F3823">
        <w:rPr>
          <w:rFonts w:ascii="Times New Roman" w:hAnsi="Times New Roman" w:cs="Times New Roman"/>
          <w:sz w:val="28"/>
          <w:szCs w:val="28"/>
        </w:rPr>
        <w:t>r</w:t>
      </w:r>
      <w:r w:rsidRPr="00B34FA1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9F3823">
        <w:rPr>
          <w:rFonts w:ascii="Times New Roman" w:hAnsi="Times New Roman" w:cs="Times New Roman"/>
          <w:sz w:val="28"/>
          <w:szCs w:val="28"/>
        </w:rPr>
        <w:t>. Consequently, the detector intercepts that same fraction of the isotropic</w:t>
      </w:r>
      <w:r w:rsidR="00197BE5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 xml:space="preserve">radiation emitted by the source. Only a fraction, </w:t>
      </w:r>
      <w:r w:rsidRPr="009F3823">
        <w:rPr>
          <w:rFonts w:ascii="Cambria Math" w:hAnsi="Cambria Math" w:cs="Cambria Math"/>
          <w:sz w:val="28"/>
          <w:szCs w:val="28"/>
        </w:rPr>
        <w:t>∈</w:t>
      </w:r>
      <w:proofErr w:type="spellStart"/>
      <w:r w:rsidRPr="00F41B34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9F3823">
        <w:rPr>
          <w:rFonts w:ascii="Times New Roman" w:hAnsi="Times New Roman" w:cs="Times New Roman"/>
          <w:sz w:val="28"/>
          <w:szCs w:val="28"/>
        </w:rPr>
        <w:t>, of the photons impinging on the sensitive area of the detector window are</w:t>
      </w:r>
      <w:r w:rsidR="0051600A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actually counted by the detector, due to window attenuation and the efficiency of converting photons into ionized atoms in the GM</w:t>
      </w:r>
      <w:r w:rsidR="0051600A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tube. The purpose of this experiment is to verify the 1/r</w:t>
      </w:r>
      <w:r w:rsidRPr="00F41B34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F41B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3823">
        <w:rPr>
          <w:rFonts w:ascii="Times New Roman" w:hAnsi="Times New Roman" w:cs="Times New Roman"/>
          <w:sz w:val="28"/>
          <w:szCs w:val="28"/>
        </w:rPr>
        <w:t xml:space="preserve"> dependence predicted by Equation (</w:t>
      </w:r>
      <w:r w:rsidR="009F5C08">
        <w:rPr>
          <w:rFonts w:ascii="Times New Roman" w:hAnsi="Times New Roman" w:cs="Times New Roman"/>
          <w:sz w:val="28"/>
          <w:szCs w:val="28"/>
        </w:rPr>
        <w:t>3</w:t>
      </w:r>
      <w:r w:rsidRPr="009F3823">
        <w:rPr>
          <w:rFonts w:ascii="Times New Roman" w:hAnsi="Times New Roman" w:cs="Times New Roman"/>
          <w:sz w:val="28"/>
          <w:szCs w:val="28"/>
        </w:rPr>
        <w:t>).</w:t>
      </w: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F3823">
        <w:rPr>
          <w:rFonts w:ascii="Times New Roman" w:hAnsi="Times New Roman" w:cs="Times New Roman"/>
          <w:b/>
          <w:bCs/>
          <w:sz w:val="32"/>
          <w:szCs w:val="32"/>
        </w:rPr>
        <w:t>Procedure</w:t>
      </w:r>
    </w:p>
    <w:p w:rsidR="009F3823" w:rsidRPr="009F3823" w:rsidRDefault="009F3823" w:rsidP="009F3823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1. Set the GM tube at the proper operating voltage, and place the 1-</w:t>
      </w:r>
      <w:proofErr w:type="gramStart"/>
      <w:r w:rsidRPr="009F3823">
        <w:rPr>
          <w:rFonts w:ascii="Times New Roman" w:hAnsi="Times New Roman" w:cs="Times New Roman"/>
          <w:sz w:val="28"/>
          <w:szCs w:val="28"/>
        </w:rPr>
        <w:t xml:space="preserve">μCi </w:t>
      </w:r>
      <w:r w:rsidR="00F41B34">
        <w:rPr>
          <w:rFonts w:ascii="Times New Roman" w:hAnsi="Times New Roman" w:cs="Times New Roman"/>
          <w:sz w:val="28"/>
          <w:szCs w:val="28"/>
        </w:rPr>
        <w:t xml:space="preserve"> </w:t>
      </w:r>
      <w:r w:rsidRPr="00F41B34">
        <w:rPr>
          <w:rFonts w:ascii="Times New Roman" w:hAnsi="Times New Roman" w:cs="Times New Roman"/>
          <w:sz w:val="28"/>
          <w:szCs w:val="28"/>
          <w:vertAlign w:val="superscript"/>
        </w:rPr>
        <w:t>60</w:t>
      </w:r>
      <w:r w:rsidRPr="009F3823"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Pr="009F3823">
        <w:rPr>
          <w:rFonts w:ascii="Times New Roman" w:hAnsi="Times New Roman" w:cs="Times New Roman"/>
          <w:sz w:val="28"/>
          <w:szCs w:val="28"/>
        </w:rPr>
        <w:t xml:space="preserve"> source 1 cm away from the face of the window.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2. Count for a period of time long enough to get reasonable statistical precision (≥4000 counts).</w:t>
      </w:r>
    </w:p>
    <w:p w:rsidR="002A0481" w:rsidRPr="009F3823" w:rsidRDefault="002A0481" w:rsidP="00197BE5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 xml:space="preserve">3. Move the source to 2 cm, and repeat the measurement for the same amount of time. Continue for the distances listed </w:t>
      </w:r>
      <w:r w:rsidR="00F41B34">
        <w:rPr>
          <w:rFonts w:ascii="Times New Roman" w:hAnsi="Times New Roman" w:cs="Times New Roman"/>
          <w:sz w:val="28"/>
          <w:szCs w:val="28"/>
        </w:rPr>
        <w:t xml:space="preserve">in Table </w:t>
      </w:r>
      <w:r w:rsidRPr="009F3823">
        <w:rPr>
          <w:rFonts w:ascii="Times New Roman" w:hAnsi="Times New Roman" w:cs="Times New Roman"/>
          <w:sz w:val="28"/>
          <w:szCs w:val="28"/>
        </w:rPr>
        <w:t>1.</w:t>
      </w:r>
    </w:p>
    <w:p w:rsidR="002A0481" w:rsidRPr="009F3823" w:rsidRDefault="002A0481" w:rsidP="0035297B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>(Note that for the longer distances the time will have to be increased to obtain the minimum number of counts necessary for</w:t>
      </w:r>
      <w:r w:rsidR="0035297B" w:rsidRPr="009F3823">
        <w:rPr>
          <w:rFonts w:ascii="Times New Roman" w:hAnsi="Times New Roman" w:cs="Times New Roman"/>
          <w:sz w:val="28"/>
          <w:szCs w:val="28"/>
        </w:rPr>
        <w:t xml:space="preserve"> </w:t>
      </w:r>
      <w:r w:rsidRPr="009F3823">
        <w:rPr>
          <w:rFonts w:ascii="Times New Roman" w:hAnsi="Times New Roman" w:cs="Times New Roman"/>
          <w:sz w:val="28"/>
          <w:szCs w:val="28"/>
        </w:rPr>
        <w:t>adequate statistical precision.)</w:t>
      </w: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3823">
        <w:rPr>
          <w:rFonts w:ascii="Times New Roman" w:hAnsi="Times New Roman" w:cs="Times New Roman"/>
          <w:b/>
          <w:bCs/>
          <w:sz w:val="28"/>
          <w:szCs w:val="28"/>
        </w:rPr>
        <w:t>EXERCISES</w:t>
      </w: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53F3" w:rsidRPr="009F3823" w:rsidRDefault="007F53F3" w:rsidP="007F53F3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4"/>
        <w:gridCol w:w="1125"/>
        <w:gridCol w:w="1276"/>
        <w:gridCol w:w="810"/>
        <w:gridCol w:w="847"/>
        <w:gridCol w:w="847"/>
        <w:gridCol w:w="847"/>
        <w:gridCol w:w="847"/>
        <w:gridCol w:w="732"/>
        <w:gridCol w:w="810"/>
        <w:gridCol w:w="810"/>
      </w:tblGrid>
      <w:tr w:rsidR="009F3823" w:rsidRPr="009F3823" w:rsidTr="00904553">
        <w:trPr>
          <w:trHeight w:val="48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Serial #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Distance-D0 (cm)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Corrected-Distance D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Ln(D)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N1-counts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N2-counts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N2-counts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N4- counts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N5-counts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3F3" w:rsidRPr="007F53F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avg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553" w:rsidRPr="00904553" w:rsidRDefault="007F53F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Ln</w:t>
            </w:r>
          </w:p>
          <w:p w:rsidR="007F53F3" w:rsidRPr="007F53F3" w:rsidRDefault="007F53F3" w:rsidP="0090455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avg</w:t>
            </w:r>
            <w:proofErr w:type="spellEnd"/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4553" w:rsidRPr="007F53F3" w:rsidTr="00904553">
        <w:trPr>
          <w:trHeight w:val="31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5575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553" w:rsidRPr="007F53F3" w:rsidRDefault="00904553" w:rsidP="007F53F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7F53F3" w:rsidRPr="009F3823" w:rsidRDefault="007F53F3" w:rsidP="007F53F3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3" w:rsidRPr="009F3823" w:rsidRDefault="00F41B34" w:rsidP="007F53F3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</w:p>
    <w:p w:rsidR="007F53F3" w:rsidRPr="009F3823" w:rsidRDefault="007F53F3" w:rsidP="007F53F3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3" w:rsidRPr="009F3823" w:rsidRDefault="007F53F3" w:rsidP="007F53F3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00A" w:rsidRPr="009F3823" w:rsidRDefault="00904553" w:rsidP="0051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600A" w:rsidRPr="009F3823">
        <w:rPr>
          <w:rFonts w:ascii="Times New Roman" w:hAnsi="Times New Roman" w:cs="Times New Roman"/>
          <w:sz w:val="28"/>
          <w:szCs w:val="28"/>
        </w:rPr>
        <w:t xml:space="preserve"> On linear graph paper, plot the corrected counting rate (y axis) as a function of distance (x axis). This plot should have the 1/r</w:t>
      </w:r>
      <w:r w:rsidR="0051600A" w:rsidRPr="00904553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="0051600A" w:rsidRPr="009045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1600A" w:rsidRPr="009F3823">
        <w:rPr>
          <w:rFonts w:ascii="Times New Roman" w:hAnsi="Times New Roman" w:cs="Times New Roman"/>
          <w:sz w:val="28"/>
          <w:szCs w:val="28"/>
        </w:rPr>
        <w:t xml:space="preserve"> characteristics exhibited by Equations (18) and (19).</w:t>
      </w: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00A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 xml:space="preserve">c. Is there another way to plot this data so that the exponent for </w:t>
      </w:r>
      <w:proofErr w:type="spellStart"/>
      <w:r w:rsidRPr="009F382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9F3823">
        <w:rPr>
          <w:rFonts w:ascii="Times New Roman" w:hAnsi="Times New Roman" w:cs="Times New Roman"/>
          <w:sz w:val="28"/>
          <w:szCs w:val="28"/>
        </w:rPr>
        <w:t xml:space="preserve"> in</w:t>
      </w:r>
    </w:p>
    <w:p w:rsidR="0035297B" w:rsidRPr="009F3823" w:rsidRDefault="0051600A" w:rsidP="0051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823">
        <w:rPr>
          <w:rFonts w:ascii="Times New Roman" w:hAnsi="Times New Roman" w:cs="Times New Roman"/>
          <w:sz w:val="28"/>
          <w:szCs w:val="28"/>
        </w:rPr>
        <w:t xml:space="preserve">Equations (19) can be confirmed to be 2? </w:t>
      </w:r>
      <w:r w:rsidR="009F3823" w:rsidRPr="009F3823">
        <w:rPr>
          <w:rFonts w:ascii="Times New Roman" w:hAnsi="Times New Roman" w:cs="Times New Roman"/>
          <w:sz w:val="28"/>
          <w:szCs w:val="28"/>
        </w:rPr>
        <w:t xml:space="preserve"> Plot another graph between Ln (D) vs </w:t>
      </w:r>
      <w:proofErr w:type="gramStart"/>
      <w:r w:rsidR="009F3823" w:rsidRPr="009F3823">
        <w:rPr>
          <w:rFonts w:ascii="Times New Roman" w:hAnsi="Times New Roman" w:cs="Times New Roman"/>
          <w:sz w:val="28"/>
          <w:szCs w:val="28"/>
        </w:rPr>
        <w:t>Ln(</w:t>
      </w:r>
      <w:proofErr w:type="spellStart"/>
      <w:proofErr w:type="gramEnd"/>
      <w:r w:rsidR="009F3823" w:rsidRPr="009F3823">
        <w:rPr>
          <w:rFonts w:ascii="Times New Roman" w:hAnsi="Times New Roman" w:cs="Times New Roman"/>
          <w:sz w:val="28"/>
          <w:szCs w:val="28"/>
        </w:rPr>
        <w:t>N</w:t>
      </w:r>
      <w:r w:rsidR="009F3823" w:rsidRPr="00904553">
        <w:rPr>
          <w:rFonts w:ascii="Times New Roman" w:hAnsi="Times New Roman" w:cs="Times New Roman"/>
          <w:sz w:val="28"/>
          <w:szCs w:val="28"/>
          <w:vertAlign w:val="subscript"/>
        </w:rPr>
        <w:t>avg</w:t>
      </w:r>
      <w:proofErr w:type="spellEnd"/>
      <w:r w:rsidR="009F3823" w:rsidRPr="009F3823">
        <w:rPr>
          <w:rFonts w:ascii="Times New Roman" w:hAnsi="Times New Roman" w:cs="Times New Roman"/>
          <w:sz w:val="28"/>
          <w:szCs w:val="28"/>
        </w:rPr>
        <w:t>) and find the value of exponents and error in this value?</w:t>
      </w:r>
    </w:p>
    <w:p w:rsidR="0035297B" w:rsidRDefault="0035297B" w:rsidP="003529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5297B" w:rsidSect="00197BE5">
      <w:footerReference w:type="default" r:id="rId11"/>
      <w:pgSz w:w="11906" w:h="16838"/>
      <w:pgMar w:top="720" w:right="1008" w:bottom="72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4E" w:rsidRDefault="0076454E" w:rsidP="00F720D0">
      <w:pPr>
        <w:spacing w:after="0" w:line="240" w:lineRule="auto"/>
      </w:pPr>
      <w:r>
        <w:separator/>
      </w:r>
    </w:p>
  </w:endnote>
  <w:endnote w:type="continuationSeparator" w:id="0">
    <w:p w:rsidR="0076454E" w:rsidRDefault="0076454E" w:rsidP="00F7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0" w:rsidRPr="00F720D0" w:rsidRDefault="00F720D0" w:rsidP="00F720D0">
    <w:pPr>
      <w:pStyle w:val="Footer"/>
      <w:rPr>
        <w:i/>
        <w:iCs/>
        <w:sz w:val="18"/>
        <w:szCs w:val="18"/>
        <w:rtl/>
      </w:rPr>
    </w:pPr>
    <w:r w:rsidRPr="00F720D0">
      <w:rPr>
        <w:i/>
        <w:iCs/>
        <w:sz w:val="18"/>
        <w:szCs w:val="18"/>
      </w:rPr>
      <w:t>KFUPM Physics Department lab 304</w:t>
    </w:r>
  </w:p>
  <w:p w:rsidR="00F720D0" w:rsidRDefault="00F72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4E" w:rsidRDefault="0076454E" w:rsidP="00F720D0">
      <w:pPr>
        <w:spacing w:after="0" w:line="240" w:lineRule="auto"/>
      </w:pPr>
      <w:r>
        <w:separator/>
      </w:r>
    </w:p>
  </w:footnote>
  <w:footnote w:type="continuationSeparator" w:id="0">
    <w:p w:rsidR="0076454E" w:rsidRDefault="0076454E" w:rsidP="00F72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6182"/>
    <w:multiLevelType w:val="hybridMultilevel"/>
    <w:tmpl w:val="92F09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363E0"/>
    <w:multiLevelType w:val="hybridMultilevel"/>
    <w:tmpl w:val="BA863B3A"/>
    <w:lvl w:ilvl="0" w:tplc="200CBB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21"/>
    <w:rsid w:val="000B6621"/>
    <w:rsid w:val="00197BE5"/>
    <w:rsid w:val="002A0481"/>
    <w:rsid w:val="002A223B"/>
    <w:rsid w:val="003019E3"/>
    <w:rsid w:val="0035297B"/>
    <w:rsid w:val="0037686F"/>
    <w:rsid w:val="003D33F1"/>
    <w:rsid w:val="004440AC"/>
    <w:rsid w:val="0051600A"/>
    <w:rsid w:val="0076454E"/>
    <w:rsid w:val="007D6D96"/>
    <w:rsid w:val="007F53F3"/>
    <w:rsid w:val="00904553"/>
    <w:rsid w:val="009A7339"/>
    <w:rsid w:val="009E50BA"/>
    <w:rsid w:val="009F3823"/>
    <w:rsid w:val="009F5C08"/>
    <w:rsid w:val="00A030C0"/>
    <w:rsid w:val="00AC58E0"/>
    <w:rsid w:val="00B214A5"/>
    <w:rsid w:val="00B34FA1"/>
    <w:rsid w:val="00E37495"/>
    <w:rsid w:val="00F41B34"/>
    <w:rsid w:val="00F433C7"/>
    <w:rsid w:val="00F720D0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D0"/>
  </w:style>
  <w:style w:type="paragraph" w:styleId="Footer">
    <w:name w:val="footer"/>
    <w:basedOn w:val="Normal"/>
    <w:link w:val="Foot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D0"/>
  </w:style>
  <w:style w:type="paragraph" w:styleId="Footer">
    <w:name w:val="footer"/>
    <w:basedOn w:val="Normal"/>
    <w:link w:val="Foot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Naqvi</cp:lastModifiedBy>
  <cp:revision>8</cp:revision>
  <cp:lastPrinted>2016-02-03T06:38:00Z</cp:lastPrinted>
  <dcterms:created xsi:type="dcterms:W3CDTF">2016-03-20T18:48:00Z</dcterms:created>
  <dcterms:modified xsi:type="dcterms:W3CDTF">2016-03-20T20:12:00Z</dcterms:modified>
</cp:coreProperties>
</file>