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55559E" w:rsidRPr="001F0991" w:rsidRDefault="0055559E" w:rsidP="0055559E">
      <w:pPr>
        <w:pStyle w:val="Title"/>
        <w:rPr>
          <w:b w:val="0"/>
          <w:bCs w:val="0"/>
          <w:color w:val="070000"/>
          <w:sz w:val="28"/>
          <w:szCs w:val="33"/>
        </w:rPr>
      </w:pPr>
      <w:r w:rsidRPr="001F0991">
        <w:rPr>
          <w:color w:val="070000"/>
        </w:rPr>
        <w:t>ICS 233 Computer Architecture &amp; Assembly Language</w:t>
      </w:r>
    </w:p>
    <w:p w:rsidR="0064233F" w:rsidRPr="007901B6" w:rsidRDefault="0064233F" w:rsidP="00D84927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D84927">
        <w:rPr>
          <w:rFonts w:asciiTheme="majorBidi" w:hAnsiTheme="majorBidi" w:cstheme="majorBidi"/>
          <w:sz w:val="28"/>
        </w:rPr>
        <w:t>141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D625BA" w:rsidP="00D62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31</w:t>
            </w:r>
            <w:r w:rsidR="00E71623"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</w:tcPr>
          <w:p w:rsidR="00A5460F" w:rsidRPr="007901B6" w:rsidRDefault="008E7BF3" w:rsidP="009D3E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Syllabus introduction.</w:t>
            </w:r>
          </w:p>
        </w:tc>
        <w:tc>
          <w:tcPr>
            <w:tcW w:w="210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D625BA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2/9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CD5165" w:rsidP="00AE31E9">
            <w:pPr>
              <w:autoSpaceDE w:val="0"/>
              <w:autoSpaceDN w:val="0"/>
              <w:adjustRightInd w:val="0"/>
              <w:jc w:val="lowKashida"/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and Machine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and Assembler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and Machine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Fields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Advantages of High-Level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Learn Assembly Language?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vs. High-Level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Programming Tools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Default="00CD5165" w:rsidP="00D6356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425D6D" w:rsidRPr="004E7874" w:rsidRDefault="00425D6D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D625BA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4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5460F" w:rsidRPr="007901B6" w:rsidRDefault="0053228B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Programming Tools, Assemble and Link Process, Components of a Computer System, Input Devices, Output Devices, Memory, Address Space. Address, Data, and Control Bus.</w:t>
            </w:r>
          </w:p>
        </w:tc>
        <w:tc>
          <w:tcPr>
            <w:tcW w:w="2104" w:type="dxa"/>
          </w:tcPr>
          <w:p w:rsidR="00A5460F" w:rsidRDefault="0053228B" w:rsidP="00AC634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425D6D" w:rsidRPr="007901B6" w:rsidRDefault="00425D6D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B02FD8" w:rsidP="00E63E2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Devices: RAM, DRAM, SRAM, ROM, Magnetic Disk Storage, Processor-Memory Performance Gap. Memory Hierarchy, Processor: Datapath, Control, Program Counter, Instruction Register, Fetch-Execute Cycle.</w:t>
            </w:r>
          </w:p>
        </w:tc>
        <w:tc>
          <w:tcPr>
            <w:tcW w:w="2104" w:type="dxa"/>
          </w:tcPr>
          <w:p w:rsidR="00D625BA" w:rsidRDefault="00B02FD8" w:rsidP="00C3287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425D6D" w:rsidRPr="007901B6" w:rsidRDefault="00425D6D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2545BE" w:rsidP="005A5B7B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Fetch-</w:t>
            </w:r>
            <w:r w:rsidRPr="00C0677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Execute Cycle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6F0000"/>
                <w:sz w:val="24"/>
                <w:szCs w:val="24"/>
                <w:lang w:eastAsia="ko-KR"/>
              </w:rPr>
              <w:t xml:space="preserve"> </w:t>
            </w:r>
            <w:r w:rsidRPr="00C0677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Manufacturing Process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C0677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Effect of Die Size on Yield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545BE" w:rsidRDefault="002545BE" w:rsidP="002545B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D625BA" w:rsidRPr="007901B6" w:rsidRDefault="002545BE" w:rsidP="002545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BB383E" w:rsidRPr="00BB383E" w:rsidRDefault="00BB383E" w:rsidP="00BB383E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C0677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Technology Improvements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0677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Programmer’s View of a Computer System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="00EB7193"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Positional Number Systems</w:t>
            </w:r>
            <w:r w:rsidR="00EB71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EB7193"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Binary and Hexadecimal Numbers</w:t>
            </w:r>
            <w:r w:rsidR="00EB71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="00EB7193"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Base Conversions</w:t>
            </w:r>
            <w:r w:rsidR="00EB719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="00EB7193">
              <w:rPr>
                <w:rFonts w:ascii="TimesNewRoman" w:eastAsia="Batang" w:hAnsi="TimesNewRoman" w:cs="TimesNewRoman"/>
                <w:color w:val="830000"/>
                <w:sz w:val="24"/>
                <w:szCs w:val="24"/>
                <w:lang w:eastAsia="ko-KR"/>
              </w:rPr>
              <w:t xml:space="preserve"> </w:t>
            </w:r>
            <w:r w:rsidR="00EB7193"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Integer Storage Sizes</w:t>
            </w:r>
            <w:r w:rsidR="00EB7193">
              <w:rPr>
                <w:rFonts w:ascii="TimesNewRoman" w:eastAsia="Batang" w:hAnsi="TimesNewRoman" w:cs="TimesNewRoman"/>
                <w:color w:val="8300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B383E" w:rsidRDefault="00BB383E" w:rsidP="00BB383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D625BA" w:rsidRPr="00C316B8" w:rsidRDefault="00BB383E" w:rsidP="00BB383E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EB7193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Binary and Hexadecimal Addition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Signed Integers and 2's Complement Notation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 Extension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Two's Complement of a Hexadecimal, Binary &amp; Hexadecimal Subtraction, Ranges of Signed Integers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Carry and Overflow.</w:t>
            </w:r>
          </w:p>
        </w:tc>
        <w:tc>
          <w:tcPr>
            <w:tcW w:w="2104" w:type="dxa"/>
          </w:tcPr>
          <w:p w:rsidR="00D625BA" w:rsidRPr="007901B6" w:rsidRDefault="00D625BA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625BA" w:rsidRPr="007901B6" w:rsidTr="00F21757">
        <w:trPr>
          <w:jc w:val="center"/>
        </w:trPr>
        <w:tc>
          <w:tcPr>
            <w:tcW w:w="689" w:type="dxa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8</w:t>
            </w:r>
          </w:p>
        </w:tc>
        <w:tc>
          <w:tcPr>
            <w:tcW w:w="1170" w:type="dxa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D625BA" w:rsidRPr="007901B6" w:rsidRDefault="00A3236D" w:rsidP="00A3236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323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the MIPS, Processor, MIPS, General-Purpose Registers, Conventions, Instruction Formats.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89603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D625BA" w:rsidRPr="007901B6" w:rsidRDefault="00A3236D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(2.1-2.2)</w:t>
            </w:r>
          </w:p>
        </w:tc>
      </w:tr>
      <w:tr w:rsidR="00D625BA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625BA" w:rsidRPr="007901B6" w:rsidRDefault="00F832F7" w:rsidP="003C1B3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Instruction Categories. R-Type Arithmetic, Logical, and Shift Instructions, Integer Add /Subtract Instructions. Logical Bitwise Instructions: AND, OR, XOR, NOR, Shift Instructions: sll, srl sra, sllv, srlv, srav. Use of shift instructions in performing multiplication and division.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625BA" w:rsidRPr="007901B6" w:rsidRDefault="00F832F7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(2.1-2.6)</w:t>
            </w:r>
          </w:p>
        </w:tc>
      </w:tr>
      <w:tr w:rsidR="00D625BA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625B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D625BA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C67758" w:rsidP="00C67758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67758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Use of shift instructions in performing multiplication and division. I-Type Format, I-Type ALU Instructions, 32-bit Constants, Applications of logical instructions. J-Type Format, Conditional Branch Instructions, Set on Less Than Instructions, Pseudo-Instructions.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C67758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 w:rsidR="006C215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(2.1-2.7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D8492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21C8E" w:rsidRPr="007901B6" w:rsidRDefault="00D84927" w:rsidP="00D8492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2060"/>
                <w:sz w:val="24"/>
                <w:szCs w:val="24"/>
              </w:rPr>
              <w:t>National Day - Holiday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21C8E" w:rsidRPr="007901B6" w:rsidRDefault="00621C8E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D84927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7F0CB9" w:rsidP="00212F2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Conditional Branch 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Set on Less Than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253A86">
              <w:rPr>
                <w:sz w:val="24"/>
              </w:rPr>
              <w:t xml:space="preserve"> Pseudo-Instructions</w:t>
            </w:r>
            <w:r>
              <w:rPr>
                <w:rFonts w:ascii="TimesNewRoman" w:eastAsia="Batang" w:hAnsi="TimesNewRoman" w:cs="TimesNewRoman"/>
                <w:color w:val="FB0000"/>
                <w:sz w:val="24"/>
                <w:szCs w:val="24"/>
                <w:lang w:eastAsia="ko-KR"/>
              </w:rPr>
              <w:t xml:space="preserve">. </w:t>
            </w:r>
            <w:r w:rsidRPr="00253A86">
              <w:rPr>
                <w:sz w:val="24"/>
              </w:rPr>
              <w:t>Translating an IF Statement</w:t>
            </w:r>
            <w:r>
              <w:rPr>
                <w:sz w:val="24"/>
              </w:rPr>
              <w:t xml:space="preserve">, </w:t>
            </w:r>
            <w:r w:rsidRPr="00253A86">
              <w:rPr>
                <w:sz w:val="24"/>
              </w:rPr>
              <w:t>Compound Expression with AND</w:t>
            </w:r>
            <w:r>
              <w:rPr>
                <w:sz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7F0CB9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(2.1-2.7)</w:t>
            </w:r>
          </w:p>
        </w:tc>
      </w:tr>
      <w:tr w:rsidR="00D84927" w:rsidRPr="007901B6" w:rsidTr="00D8492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D84927" w:rsidRPr="007901B6" w:rsidRDefault="00D84927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84927" w:rsidRDefault="00D84927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26/9 – 11/10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D84927" w:rsidRPr="002F484B" w:rsidRDefault="00D84927" w:rsidP="00D8492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2060"/>
                <w:sz w:val="24"/>
                <w:szCs w:val="24"/>
              </w:rPr>
              <w:t>Id al-Adha Vacation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D84927" w:rsidRPr="007901B6" w:rsidRDefault="00D84927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D84927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8E030F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53A86">
              <w:rPr>
                <w:sz w:val="24"/>
              </w:rPr>
              <w:t>Compound Expression with OR</w:t>
            </w:r>
            <w:r>
              <w:rPr>
                <w:sz w:val="24"/>
              </w:rPr>
              <w:t>, Signed &amp; Unsigned Comparison.</w:t>
            </w:r>
            <w:r>
              <w:rPr>
                <w:rFonts w:ascii="TimesNewRoman" w:eastAsia="Batang" w:hAnsi="TimesNewRoman" w:cs="TimesNewRoman"/>
                <w:color w:val="0B0300"/>
                <w:sz w:val="24"/>
                <w:szCs w:val="24"/>
                <w:lang w:eastAsia="ko-KR"/>
              </w:rPr>
              <w:t xml:space="preserve">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 and Store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 and Store Word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 and Store Byte and Halfword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Translating a WHILE Loop</w:t>
            </w:r>
            <w:r w:rsidR="007F176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8E030F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(2.1-2.7)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D84927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621C8E" w:rsidRPr="007901B6" w:rsidRDefault="009B16A9" w:rsidP="008E030F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Pointers to Traverse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CC51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Copying a String, Summing an Integer Array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9B16A9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(2.1-2.7)</w:t>
            </w: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D84927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D84927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963F90" w:rsidP="008B078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51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Addressing Modes, Branch / Jump Addressing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 and Branch Limits, PC-Relative Addressing.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Summary of RISC Design, Assembly Language Stat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ements, Instructions, Comments, Program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Template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8B0781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2.10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19</w:t>
            </w:r>
            <w:r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8B0781" w:rsidP="008B078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Definition Statement,</w:t>
            </w:r>
            <w:r>
              <w:rPr>
                <w:rFonts w:ascii="TimesNewRoman" w:eastAsia="Batang" w:hAnsi="TimesNewRoman" w:cs="TimesNewRoman"/>
                <w:color w:val="4703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Data Directives: .Byte, .Half, .Word, .Float, .double,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String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.Ascii, .Aciiz, .Space,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Examples of Data Definitions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Alignment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Byte Ordering, Big &amp; Little Endians.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System Calls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Reading and Printing an Integer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Reading and Printing a String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Reading and Printing a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8B0781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621C8E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D84927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4F0232" w:rsidP="004F023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System Calls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Sum of Three Integers Program</w:t>
            </w:r>
            <w:r>
              <w:rPr>
                <w:rFonts w:ascii="TimesNewRoman" w:eastAsia="Batang" w:hAnsi="TimesNewRoman" w:cs="TimesNewRoman"/>
                <w:color w:val="5B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Case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Conversion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Program</w:t>
            </w:r>
            <w:r w:rsidRPr="004F023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 File operations.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4F0232" w:rsidP="00855A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621C8E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6340" w:rsidRPr="00266340" w:rsidRDefault="002248A8" w:rsidP="002663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Procedures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Call / Return Sequence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for Procedures</w:t>
            </w:r>
            <w:r>
              <w:rPr>
                <w:rFonts w:ascii="TimesNewRoman" w:eastAsia="Batang" w:hAnsi="TimesNewRoman" w:cs="TimesNewRoman"/>
                <w:color w:val="6F0300"/>
                <w:sz w:val="24"/>
                <w:szCs w:val="24"/>
                <w:lang w:eastAsia="ko-KR"/>
              </w:rPr>
              <w:t xml:space="preserve">: </w:t>
            </w:r>
            <w:r w:rsidRPr="0069403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JAL, JR, JALR.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8E02F4" w:rsidRDefault="002248A8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 w:rsidR="007370F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D96A14">
        <w:trPr>
          <w:trHeight w:val="408"/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621C8E" w:rsidRPr="007901B6" w:rsidTr="00F21757">
        <w:trPr>
          <w:trHeight w:val="759"/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621C8E" w:rsidRPr="007901B6" w:rsidRDefault="004F0232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</w:tcPr>
          <w:p w:rsidR="00621C8E" w:rsidRPr="007901B6" w:rsidRDefault="00621C8E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327F1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E979C7" w:rsidRDefault="003D10CF" w:rsidP="00FE3E6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Frame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3D10CF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 w:rsidR="007370F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621C8E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805EFC" w:rsidRDefault="003D10CF" w:rsidP="00805E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Frame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21C8E" w:rsidRPr="007901B6" w:rsidRDefault="003D10CF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 w:rsidR="007370F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E65085" w:rsidP="00960D8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Selection Sort Procedure</w:t>
            </w:r>
            <w:r>
              <w:rPr>
                <w:rFonts w:ascii="TimesNewRoman" w:eastAsia="Batang" w:hAnsi="TimesNewRoman" w:cs="TimesNewRoman"/>
                <w:color w:val="83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Recursive Procedures: factorial.</w:t>
            </w:r>
            <w:r w:rsidR="00CB270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="00CB2709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(Quiz#3</w:t>
            </w:r>
            <w:r w:rsidR="00CB2709"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E65085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 w:rsidR="007370F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652529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Unsigned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Multiplication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Multiplication Hardware</w:t>
            </w:r>
            <w:r>
              <w:rPr>
                <w:rFonts w:ascii="TimesNewRoman" w:eastAsia="Batang" w:hAnsi="TimesNewRoman" w:cs="TimesNewRoman"/>
                <w:color w:val="BF03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A32922" w:rsidRDefault="00791894" w:rsidP="0079189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C36F9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1F1EAF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Fast Multiplication,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Unsigned Division</w:t>
            </w:r>
            <w:r>
              <w:rPr>
                <w:rFonts w:ascii="TimesNewRoman" w:eastAsia="Batang" w:hAnsi="TimesNewRoman" w:cs="TimesNewRoman"/>
                <w:color w:val="BF0300"/>
                <w:sz w:val="24"/>
                <w:szCs w:val="24"/>
                <w:lang w:eastAsia="ko-KR"/>
              </w:rPr>
              <w:t xml:space="preserve">.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Division Algorithm &amp;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Division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3317C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Multiplication and Division in MIPS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FB0300"/>
                <w:sz w:val="24"/>
                <w:szCs w:val="24"/>
                <w:lang w:eastAsia="ko-KR"/>
              </w:rPr>
              <w:t xml:space="preserve"> </w:t>
            </w:r>
            <w:r w:rsidRPr="00A95FE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Integer to String Procedure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1F1EAF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(3.3-3.4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F327F1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9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411D24" w:rsidP="003A735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95FE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Representation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IEEE 754 Floating-Point Standard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Normalized Floating Point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Biased Exponent Representation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Converting FP Decimal to Binary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Largest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&amp; Smallest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Normalized Float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Zero, Infinity, and NaN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Denormalized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D7821" w:rsidRPr="005C048A" w:rsidRDefault="000D7821" w:rsidP="000D782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327F1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5B18D6" w:rsidP="005B18D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Denormalized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Comparison</w:t>
            </w:r>
            <w:r>
              <w:rPr>
                <w:rFonts w:ascii="TimesNewRoman" w:eastAsia="Batang" w:hAnsi="TimesNewRoman" w:cs="TimesNewRoman"/>
                <w:color w:val="330700"/>
                <w:sz w:val="24"/>
                <w:szCs w:val="24"/>
                <w:lang w:eastAsia="ko-KR"/>
              </w:rPr>
              <w:t xml:space="preserve">, </w:t>
            </w: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Simple 6-bit Fl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oating Point Example, Floating Point Addition.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5B18D6" w:rsidP="00640E2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327F1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327F1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935DC1" w:rsidP="00935DC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Subtraction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Adder Block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Extra Bits to Maintain Precision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Guard Bit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Round and Sticky bits. IEEE 754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Rounding Modes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935DC1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327F1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U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3047DB" w:rsidP="002455C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0783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Floating Point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Addition/</w:t>
            </w:r>
            <w:r w:rsidRPr="00F0783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Subtraction Example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IEEE 754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Rounding Modes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F0783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Advantages of IEEE 754 Standard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0783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Complexities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244758" w:rsidRDefault="003047DB" w:rsidP="00E848F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F81A14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341879" w:rsidP="00816B49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 w:rsidRPr="00B46465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MIPS Floating-Point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Load/Store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Movement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Compare and Branch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FP Data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FP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Syscall Services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Example: Area of a circle.</w:t>
            </w:r>
            <w:r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935DC1"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341879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E3D5D" w:rsidRPr="007901B6" w:rsidRDefault="005F7191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Matrix Multiplication.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Performance?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Factors affecting execution time.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5F7191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025FD5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25FD5" w:rsidRPr="007901B6" w:rsidRDefault="00025FD5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25FD5" w:rsidRDefault="00025FD5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22/11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25FD5" w:rsidRPr="007901B6" w:rsidRDefault="00025FD5" w:rsidP="00025FD5">
            <w:pPr>
              <w:tabs>
                <w:tab w:val="left" w:pos="1572"/>
              </w:tabs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ab/>
              <w:t>Midterm Exam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025FD5" w:rsidRPr="007901B6" w:rsidRDefault="00025FD5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</w:t>
            </w:r>
            <w:r w:rsidR="00621C8E">
              <w:rPr>
                <w:rFonts w:asciiTheme="majorBidi" w:hAnsiTheme="majorBidi" w:cstheme="majorBidi"/>
                <w:sz w:val="24"/>
              </w:rPr>
              <w:t>3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5457C6" w:rsidP="00C7458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Response Time and Throughput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Definition of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CPU Execution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Clock Cycles per Instruction (CPI)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 Equation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6F0700"/>
                <w:sz w:val="24"/>
                <w:szCs w:val="24"/>
                <w:lang w:eastAsia="ko-KR"/>
              </w:rPr>
              <w:t xml:space="preserve"> </w:t>
            </w:r>
            <w:r w:rsidRPr="00B9360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Factors Impacting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CPI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5457C6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621C8E" w:rsidRPr="007901B6" w:rsidRDefault="00ED4366" w:rsidP="00BE688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CPI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MIPS as a 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 Measure</w:t>
            </w:r>
            <w:r>
              <w:rPr>
                <w:rFonts w:ascii="TimesNewRoman" w:eastAsia="Batang" w:hAnsi="TimesNewRoman" w:cs="TimesNewRoman"/>
                <w:color w:val="AB0700"/>
                <w:sz w:val="24"/>
                <w:szCs w:val="24"/>
                <w:lang w:eastAsia="ko-KR"/>
              </w:rPr>
              <w:t xml:space="preserve">. 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Drawbacks of MIPS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Amdahl’s Law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BE688E" w:rsidRDefault="00ED4366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EF7E71" w:rsidRDefault="00E407D9" w:rsidP="00EF7E7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Benchmarks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SPEC CPU2000 Benchmarks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SPEC 2000 Ratings (Pentium III &amp; 4)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 and Power</w:t>
            </w:r>
            <w:r>
              <w:rPr>
                <w:rFonts w:ascii="TimesNewRoman" w:eastAsia="Batang" w:hAnsi="TimesNewRoman" w:cs="TimesNewRoman"/>
                <w:color w:val="BF0700"/>
                <w:sz w:val="24"/>
                <w:szCs w:val="24"/>
                <w:lang w:eastAsia="ko-KR"/>
              </w:rPr>
              <w:t xml:space="preserve">.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Single Cycle Processor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Designing a Processor: Step-by-Step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of MIPS Instruction Formats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Register Transfer Level (RTL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A012BF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621C8E" w:rsidRPr="007901B6" w:rsidTr="00F4386C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30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A012BF" w:rsidP="00816B4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Executed in Steps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Requirements of the Instruction Set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D30700"/>
                <w:sz w:val="24"/>
                <w:szCs w:val="24"/>
                <w:lang w:eastAsia="ko-KR"/>
              </w:rPr>
              <w:t xml:space="preserve"> </w:t>
            </w:r>
            <w:r w:rsidRPr="009056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Components of the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9056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Register Element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056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MIPS Register File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056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Tri-State Buffers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026A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Designing the MIPS Register File.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Building a Multifunction ALU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A012BF" w:rsidP="00816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9249E" w:rsidRPr="007901B6" w:rsidRDefault="00C27C58" w:rsidP="00C041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and Data Memories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Clocking Methodology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Clock Cycle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 Skew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Fetching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Datapath for R-type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Datapath for I-type ALU,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Combining R-type &amp; I-type Datapaths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1F0B00"/>
                <w:sz w:val="24"/>
                <w:szCs w:val="24"/>
                <w:lang w:eastAsia="ko-KR"/>
              </w:rPr>
              <w:t xml:space="preserve">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Controlling ALU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Details of the Extender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Controlling the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Execution of Load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Store.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0C56A8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621C8E" w:rsidRPr="007901B6" w:rsidTr="00EB4EF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C27C58" w:rsidP="00D9249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Adding Jump and Branch to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Controlling the Execution of Jump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Branch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D14F9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(Quiz#5</w:t>
            </w:r>
            <w:r w:rsidR="00D14F9E"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0C56A8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F81A14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U </w:t>
            </w:r>
            <w:r w:rsidR="00621C8E">
              <w:rPr>
                <w:rFonts w:asciiTheme="majorBidi" w:hAnsiTheme="majorBidi" w:cstheme="majorBidi"/>
                <w:sz w:val="24"/>
              </w:rPr>
              <w:t>7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6E5135" w:rsidRDefault="00D5367C" w:rsidP="001F3D1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Main Control</w:t>
            </w:r>
            <w:r>
              <w:rPr>
                <w:rFonts w:ascii="TimesNewRoman" w:eastAsia="Batang" w:hAnsi="TimesNewRoman" w:cs="TimesNewRoman"/>
                <w:color w:val="470B00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ALU Control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Drawbacks of Single Cycle Processor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Multicycle Implementation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Single-cycle vs. Multicycle Performance.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D5367C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4.4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7901B6" w:rsidRDefault="00496E65" w:rsidP="008B090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Worst Case Timing (Load Instruction)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Processor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Pipelining Example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470B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Serial ex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ecution versus Pipelining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Syn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chronous Pipeline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Pip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line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Performance</w:t>
            </w:r>
            <w:r w:rsidR="00A32DA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496E65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4.5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81A14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7901B6" w:rsidRDefault="00A32DAD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Datapath</w:t>
            </w:r>
            <w:r>
              <w:rPr>
                <w:rFonts w:ascii="TimesNewRoman" w:eastAsia="Batang" w:hAnsi="TimesNewRoman" w:cs="TimesNewRoman"/>
                <w:color w:val="6F0B00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Instruction–Time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Single-Cycle vs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Pipelined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Control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  <w:t xml:space="preserve">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Structural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Resolving Structural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Hazards</w:t>
            </w:r>
            <w:r>
              <w:rPr>
                <w:rFonts w:ascii="TimesNewRoman" w:eastAsia="Batang" w:hAnsi="TimesNewRoman" w:cs="TimesNewRoman"/>
                <w:color w:val="5B0B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A32DAD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4.6</w:t>
            </w:r>
          </w:p>
        </w:tc>
      </w:tr>
      <w:tr w:rsidR="00621C8E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F81A1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U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3D74AD" w:rsidP="00366D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Hazards</w:t>
            </w:r>
            <w:r>
              <w:rPr>
                <w:rFonts w:ascii="TimesNewRoman" w:eastAsia="Batang" w:hAnsi="TimesNewRoman" w:cs="TimesNewRoman"/>
                <w:color w:val="5B0B00"/>
                <w:sz w:val="24"/>
                <w:szCs w:val="24"/>
                <w:lang w:eastAsia="ko-KR"/>
              </w:rPr>
              <w:t>.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Implementing Forwarding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RAW Hazard Detection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Forwarding Unit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6F0B00"/>
                <w:sz w:val="24"/>
                <w:szCs w:val="24"/>
                <w:lang w:eastAsia="ko-KR"/>
              </w:rPr>
              <w:t xml:space="preserve">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 Delay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3D74AD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4.7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F81A14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050445" w:rsidRDefault="00CF2450" w:rsidP="0005044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 Delay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Detecting RAW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Hazard after Load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Hazard Detection and Stall Unit</w:t>
            </w:r>
            <w:r>
              <w:rPr>
                <w:rFonts w:ascii="TimesNewRoman" w:eastAsia="Batang" w:hAnsi="TimesNewRoman" w:cs="TimesNewRoman"/>
                <w:color w:val="6F0B00"/>
                <w:sz w:val="24"/>
                <w:szCs w:val="24"/>
                <w:lang w:eastAsia="ko-KR"/>
              </w:rPr>
              <w:t xml:space="preserve">.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970B00"/>
                <w:sz w:val="24"/>
                <w:szCs w:val="24"/>
                <w:lang w:eastAsia="ko-KR"/>
              </w:rPr>
              <w:t xml:space="preserve">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WAR Hazard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WAW Hazard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CF2450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4.7 &amp; 4.8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81A14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81A14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050445" w:rsidRDefault="006C3779" w:rsidP="0080711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Reducing the Delay of Branches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Hazard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Zero-Delayed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Target and Prediction Buffer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Branch Prediction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682A4D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621C8E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Default="00621C8E" w:rsidP="0043367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TH </w:t>
            </w:r>
            <w:r w:rsidR="00B6216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6216C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21C8E" w:rsidRPr="007901B6" w:rsidRDefault="00621C8E" w:rsidP="0043367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B6216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621C8E" w:rsidRPr="007901B6" w:rsidRDefault="00B6216C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</w:t>
            </w:r>
            <w:r w:rsidR="00621C8E">
              <w:rPr>
                <w:rFonts w:asciiTheme="majorBidi" w:hAnsiTheme="majorBidi" w:cstheme="majorBidi"/>
                <w:sz w:val="24"/>
              </w:rPr>
              <w:t>1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EE64B6" w:rsidRDefault="00682A4D" w:rsidP="00F61D5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Zero-Delayed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Target and Prediction Buffer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Branch Prediction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2-bit Prediction Scheme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Random Access Memory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Typical Memory Structure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Static RAM Storage Cell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RAM Storage Cell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DRAM Refresh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Trends in DRAM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Expanding the Data Bus Width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Increasing Memory Capacity by 2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vertAlign w:val="superscript"/>
                <w:lang w:eastAsia="ko-KR"/>
              </w:rPr>
              <w:t>k</w:t>
            </w:r>
            <w:r w:rsidRPr="00682A4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682A4D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4.8, </w:t>
            </w:r>
            <w:r w:rsidR="00722BCF">
              <w:rPr>
                <w:rFonts w:asciiTheme="majorBidi" w:hAnsiTheme="majorBidi" w:cstheme="majorBidi"/>
                <w:sz w:val="24"/>
              </w:rPr>
              <w:t>5.1, 5.2</w:t>
            </w:r>
          </w:p>
        </w:tc>
      </w:tr>
      <w:tr w:rsidR="006C3779" w:rsidRPr="007901B6" w:rsidTr="00F21757">
        <w:trPr>
          <w:jc w:val="center"/>
        </w:trPr>
        <w:tc>
          <w:tcPr>
            <w:tcW w:w="689" w:type="dxa"/>
          </w:tcPr>
          <w:p w:rsidR="006C3779" w:rsidRPr="007901B6" w:rsidRDefault="006C377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</w:tcPr>
          <w:p w:rsidR="006C3779" w:rsidRDefault="006C3779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C3779" w:rsidRDefault="006C3779" w:rsidP="00F61D5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(Quiz#6</w:t>
            </w:r>
            <w:r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6C3779" w:rsidRPr="007901B6" w:rsidRDefault="006C3779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6216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6216C"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6216C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7901B6" w:rsidRDefault="00722BCF" w:rsidP="002E4B6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Processor-Memory Performance Gap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Need for a Memory Hierarchy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AB0B00"/>
                <w:sz w:val="24"/>
                <w:szCs w:val="24"/>
                <w:lang w:eastAsia="ko-KR"/>
              </w:rPr>
              <w:t xml:space="preserve">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Typical Memory Hierarchy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Principle of Locality of Reference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E38CB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Basics of Caches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Block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Placement: Direct Mapped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722BCF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</w:tcPr>
          <w:p w:rsidR="00621C8E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6216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621C8E" w:rsidRPr="007901B6" w:rsidRDefault="00621C8E" w:rsidP="00816B4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6216C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6216C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621C8E" w:rsidRPr="007901B6" w:rsidRDefault="00E97EA2" w:rsidP="00F2175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Fully Associative Cache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Set-Associative Cache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 xml:space="preserve">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Miss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Buffer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eplacement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Cache Performance and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Hit Rate and Miss Rate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CPU Time with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21C8E" w:rsidRPr="007901B6" w:rsidRDefault="00E97EA2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</w:t>
            </w:r>
            <w:r w:rsidR="00E201A7">
              <w:rPr>
                <w:rFonts w:asciiTheme="majorBidi" w:hAnsiTheme="majorBidi" w:cstheme="majorBidi"/>
                <w:sz w:val="24"/>
              </w:rPr>
              <w:t>4</w:t>
            </w:r>
          </w:p>
        </w:tc>
      </w:tr>
      <w:tr w:rsidR="00B6216C" w:rsidRPr="007901B6" w:rsidTr="00F21757">
        <w:trPr>
          <w:jc w:val="center"/>
        </w:trPr>
        <w:tc>
          <w:tcPr>
            <w:tcW w:w="689" w:type="dxa"/>
          </w:tcPr>
          <w:p w:rsidR="00B6216C" w:rsidRDefault="00B6216C" w:rsidP="00B6216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B6216C" w:rsidRPr="007901B6" w:rsidRDefault="00B6216C" w:rsidP="00B6216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B6216C" w:rsidRDefault="00E201A7" w:rsidP="00E201A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CPU Time with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Cache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Average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Memory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Small and Simple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Larger Size and Higher Associativity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Larger Block Size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6216C" w:rsidRDefault="00E201A7" w:rsidP="00B6216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</w:t>
            </w:r>
            <w:bookmarkStart w:id="0" w:name="_GoBack"/>
            <w:bookmarkEnd w:id="0"/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AD" w:rsidRDefault="00DC11AD">
      <w:r>
        <w:separator/>
      </w:r>
    </w:p>
  </w:endnote>
  <w:endnote w:type="continuationSeparator" w:id="0">
    <w:p w:rsidR="00DC11AD" w:rsidRDefault="00DC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AD" w:rsidRDefault="00DC11AD">
      <w:r>
        <w:separator/>
      </w:r>
    </w:p>
  </w:footnote>
  <w:footnote w:type="continuationSeparator" w:id="0">
    <w:p w:rsidR="00DC11AD" w:rsidRDefault="00DC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5FD5"/>
    <w:rsid w:val="000265D2"/>
    <w:rsid w:val="00026CF3"/>
    <w:rsid w:val="00031A5B"/>
    <w:rsid w:val="000365ED"/>
    <w:rsid w:val="00036A96"/>
    <w:rsid w:val="000372F5"/>
    <w:rsid w:val="00037AC5"/>
    <w:rsid w:val="00040784"/>
    <w:rsid w:val="000421A6"/>
    <w:rsid w:val="00043289"/>
    <w:rsid w:val="00044C50"/>
    <w:rsid w:val="00045F8E"/>
    <w:rsid w:val="000462FB"/>
    <w:rsid w:val="0004737A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F85"/>
    <w:rsid w:val="00065564"/>
    <w:rsid w:val="0007003A"/>
    <w:rsid w:val="00070C9D"/>
    <w:rsid w:val="0007299A"/>
    <w:rsid w:val="000735C0"/>
    <w:rsid w:val="00074DA9"/>
    <w:rsid w:val="000774FD"/>
    <w:rsid w:val="00080024"/>
    <w:rsid w:val="000807F1"/>
    <w:rsid w:val="00082C74"/>
    <w:rsid w:val="00084331"/>
    <w:rsid w:val="000844DA"/>
    <w:rsid w:val="0008507A"/>
    <w:rsid w:val="000869F1"/>
    <w:rsid w:val="00087EC6"/>
    <w:rsid w:val="000905B9"/>
    <w:rsid w:val="00091476"/>
    <w:rsid w:val="00091E03"/>
    <w:rsid w:val="00093407"/>
    <w:rsid w:val="00097C7D"/>
    <w:rsid w:val="000A5964"/>
    <w:rsid w:val="000A5D62"/>
    <w:rsid w:val="000A6243"/>
    <w:rsid w:val="000A631D"/>
    <w:rsid w:val="000B1CFD"/>
    <w:rsid w:val="000B22E4"/>
    <w:rsid w:val="000B4516"/>
    <w:rsid w:val="000C05C2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6E85"/>
    <w:rsid w:val="000F7A76"/>
    <w:rsid w:val="00104201"/>
    <w:rsid w:val="0010471B"/>
    <w:rsid w:val="001067F5"/>
    <w:rsid w:val="001105F7"/>
    <w:rsid w:val="00111906"/>
    <w:rsid w:val="00113050"/>
    <w:rsid w:val="00113ADA"/>
    <w:rsid w:val="00113D0C"/>
    <w:rsid w:val="0011409C"/>
    <w:rsid w:val="00114FA2"/>
    <w:rsid w:val="00121AA4"/>
    <w:rsid w:val="00122F27"/>
    <w:rsid w:val="0012381E"/>
    <w:rsid w:val="001246A8"/>
    <w:rsid w:val="00127118"/>
    <w:rsid w:val="001277E6"/>
    <w:rsid w:val="00127BDE"/>
    <w:rsid w:val="00127CD9"/>
    <w:rsid w:val="00130411"/>
    <w:rsid w:val="0013314D"/>
    <w:rsid w:val="00133ECF"/>
    <w:rsid w:val="0013429B"/>
    <w:rsid w:val="00134C56"/>
    <w:rsid w:val="001354CD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501"/>
    <w:rsid w:val="00184CCE"/>
    <w:rsid w:val="00186294"/>
    <w:rsid w:val="001862C3"/>
    <w:rsid w:val="00191798"/>
    <w:rsid w:val="001926D0"/>
    <w:rsid w:val="001942BD"/>
    <w:rsid w:val="001967CB"/>
    <w:rsid w:val="0019772B"/>
    <w:rsid w:val="001A009F"/>
    <w:rsid w:val="001A0D6A"/>
    <w:rsid w:val="001A1542"/>
    <w:rsid w:val="001A250C"/>
    <w:rsid w:val="001A5A67"/>
    <w:rsid w:val="001B17D9"/>
    <w:rsid w:val="001B7571"/>
    <w:rsid w:val="001B7BD5"/>
    <w:rsid w:val="001C1F0B"/>
    <w:rsid w:val="001C21D8"/>
    <w:rsid w:val="001C2BD9"/>
    <w:rsid w:val="001C3049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BB2"/>
    <w:rsid w:val="001E7D98"/>
    <w:rsid w:val="001F09E7"/>
    <w:rsid w:val="001F1892"/>
    <w:rsid w:val="001F1EAF"/>
    <w:rsid w:val="001F28D2"/>
    <w:rsid w:val="001F3BB8"/>
    <w:rsid w:val="001F3D12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F21"/>
    <w:rsid w:val="0021585B"/>
    <w:rsid w:val="0021696C"/>
    <w:rsid w:val="00217D79"/>
    <w:rsid w:val="00217E60"/>
    <w:rsid w:val="0022169A"/>
    <w:rsid w:val="00221BD2"/>
    <w:rsid w:val="00222E4A"/>
    <w:rsid w:val="002239FB"/>
    <w:rsid w:val="002248A8"/>
    <w:rsid w:val="00225BB6"/>
    <w:rsid w:val="0022665E"/>
    <w:rsid w:val="002308B8"/>
    <w:rsid w:val="00230D6C"/>
    <w:rsid w:val="00235BF7"/>
    <w:rsid w:val="00236F8D"/>
    <w:rsid w:val="00240C6E"/>
    <w:rsid w:val="00240E07"/>
    <w:rsid w:val="00241AAD"/>
    <w:rsid w:val="00243359"/>
    <w:rsid w:val="002442B6"/>
    <w:rsid w:val="00244758"/>
    <w:rsid w:val="002455C3"/>
    <w:rsid w:val="002461A4"/>
    <w:rsid w:val="00246260"/>
    <w:rsid w:val="00251E43"/>
    <w:rsid w:val="00252BFB"/>
    <w:rsid w:val="00253803"/>
    <w:rsid w:val="00253A49"/>
    <w:rsid w:val="002545BE"/>
    <w:rsid w:val="002549ED"/>
    <w:rsid w:val="00256114"/>
    <w:rsid w:val="0026041C"/>
    <w:rsid w:val="00260FDB"/>
    <w:rsid w:val="00263956"/>
    <w:rsid w:val="00266340"/>
    <w:rsid w:val="0026726C"/>
    <w:rsid w:val="00270589"/>
    <w:rsid w:val="00271699"/>
    <w:rsid w:val="00271B89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57DF"/>
    <w:rsid w:val="002970F8"/>
    <w:rsid w:val="00297583"/>
    <w:rsid w:val="002A0148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5A09"/>
    <w:rsid w:val="002C74A0"/>
    <w:rsid w:val="002C7769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41B7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42E7"/>
    <w:rsid w:val="0034543C"/>
    <w:rsid w:val="003457B9"/>
    <w:rsid w:val="003457C4"/>
    <w:rsid w:val="00345CEC"/>
    <w:rsid w:val="00346BA9"/>
    <w:rsid w:val="00350023"/>
    <w:rsid w:val="00350874"/>
    <w:rsid w:val="003509B9"/>
    <w:rsid w:val="00353A7B"/>
    <w:rsid w:val="00354909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6986"/>
    <w:rsid w:val="0038724F"/>
    <w:rsid w:val="003872D4"/>
    <w:rsid w:val="0038747B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B00EE"/>
    <w:rsid w:val="004B108C"/>
    <w:rsid w:val="004B10A5"/>
    <w:rsid w:val="004B1CC1"/>
    <w:rsid w:val="004B2027"/>
    <w:rsid w:val="004B339A"/>
    <w:rsid w:val="004B456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C7863"/>
    <w:rsid w:val="004D06C1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0232"/>
    <w:rsid w:val="004F1D1A"/>
    <w:rsid w:val="004F5522"/>
    <w:rsid w:val="004F5BEC"/>
    <w:rsid w:val="00500975"/>
    <w:rsid w:val="00503E75"/>
    <w:rsid w:val="005077B2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228B"/>
    <w:rsid w:val="00534838"/>
    <w:rsid w:val="00535A77"/>
    <w:rsid w:val="00536E6E"/>
    <w:rsid w:val="00536FFD"/>
    <w:rsid w:val="00537778"/>
    <w:rsid w:val="00541683"/>
    <w:rsid w:val="00541A59"/>
    <w:rsid w:val="00541D53"/>
    <w:rsid w:val="005432E6"/>
    <w:rsid w:val="00543B2D"/>
    <w:rsid w:val="005457C6"/>
    <w:rsid w:val="005464A1"/>
    <w:rsid w:val="00550F1F"/>
    <w:rsid w:val="005516D4"/>
    <w:rsid w:val="00554CD2"/>
    <w:rsid w:val="0055559E"/>
    <w:rsid w:val="00557C02"/>
    <w:rsid w:val="00561479"/>
    <w:rsid w:val="00562E6B"/>
    <w:rsid w:val="00563199"/>
    <w:rsid w:val="00563E90"/>
    <w:rsid w:val="0056444F"/>
    <w:rsid w:val="0056548F"/>
    <w:rsid w:val="00566074"/>
    <w:rsid w:val="00566CF1"/>
    <w:rsid w:val="00566E7E"/>
    <w:rsid w:val="005671D3"/>
    <w:rsid w:val="00572233"/>
    <w:rsid w:val="00572B0D"/>
    <w:rsid w:val="00573DE8"/>
    <w:rsid w:val="00573DF7"/>
    <w:rsid w:val="00575506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4C57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5524"/>
    <w:rsid w:val="005C76BB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3650"/>
    <w:rsid w:val="005F46DE"/>
    <w:rsid w:val="005F483B"/>
    <w:rsid w:val="005F6685"/>
    <w:rsid w:val="005F671D"/>
    <w:rsid w:val="005F7191"/>
    <w:rsid w:val="005F71A2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70D4"/>
    <w:rsid w:val="00627A37"/>
    <w:rsid w:val="00630FB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778A"/>
    <w:rsid w:val="00650088"/>
    <w:rsid w:val="00652529"/>
    <w:rsid w:val="0065752D"/>
    <w:rsid w:val="006578B0"/>
    <w:rsid w:val="006610CC"/>
    <w:rsid w:val="0066337F"/>
    <w:rsid w:val="00663B7F"/>
    <w:rsid w:val="00663DFC"/>
    <w:rsid w:val="00665DF0"/>
    <w:rsid w:val="006668B5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2A4D"/>
    <w:rsid w:val="006836D8"/>
    <w:rsid w:val="0068442A"/>
    <w:rsid w:val="006859D2"/>
    <w:rsid w:val="00694395"/>
    <w:rsid w:val="0069481B"/>
    <w:rsid w:val="00696244"/>
    <w:rsid w:val="00696392"/>
    <w:rsid w:val="00696745"/>
    <w:rsid w:val="006A1542"/>
    <w:rsid w:val="006A27E4"/>
    <w:rsid w:val="006A5146"/>
    <w:rsid w:val="006A6183"/>
    <w:rsid w:val="006B13A8"/>
    <w:rsid w:val="006B183F"/>
    <w:rsid w:val="006B2044"/>
    <w:rsid w:val="006B2359"/>
    <w:rsid w:val="006B4011"/>
    <w:rsid w:val="006B40EC"/>
    <w:rsid w:val="006B452E"/>
    <w:rsid w:val="006C02EE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3680"/>
    <w:rsid w:val="0071479F"/>
    <w:rsid w:val="00716C21"/>
    <w:rsid w:val="00716D2E"/>
    <w:rsid w:val="00717A91"/>
    <w:rsid w:val="00721038"/>
    <w:rsid w:val="00721082"/>
    <w:rsid w:val="00721431"/>
    <w:rsid w:val="00721B00"/>
    <w:rsid w:val="00722BCF"/>
    <w:rsid w:val="00724B66"/>
    <w:rsid w:val="00724CDD"/>
    <w:rsid w:val="007308B3"/>
    <w:rsid w:val="00731221"/>
    <w:rsid w:val="007370FC"/>
    <w:rsid w:val="0074314B"/>
    <w:rsid w:val="007438FA"/>
    <w:rsid w:val="00743CBC"/>
    <w:rsid w:val="00744FA1"/>
    <w:rsid w:val="00746471"/>
    <w:rsid w:val="007470E1"/>
    <w:rsid w:val="0074721E"/>
    <w:rsid w:val="00747576"/>
    <w:rsid w:val="00751E09"/>
    <w:rsid w:val="007524BD"/>
    <w:rsid w:val="007537CB"/>
    <w:rsid w:val="00753A18"/>
    <w:rsid w:val="00754B18"/>
    <w:rsid w:val="00754D89"/>
    <w:rsid w:val="00754DAF"/>
    <w:rsid w:val="00756FDA"/>
    <w:rsid w:val="00760251"/>
    <w:rsid w:val="007625AC"/>
    <w:rsid w:val="00765490"/>
    <w:rsid w:val="00765773"/>
    <w:rsid w:val="00765E2B"/>
    <w:rsid w:val="00766B26"/>
    <w:rsid w:val="00767745"/>
    <w:rsid w:val="00771342"/>
    <w:rsid w:val="00771EC0"/>
    <w:rsid w:val="007732A5"/>
    <w:rsid w:val="007756BB"/>
    <w:rsid w:val="00775746"/>
    <w:rsid w:val="00776E13"/>
    <w:rsid w:val="007824AC"/>
    <w:rsid w:val="00782707"/>
    <w:rsid w:val="007843DF"/>
    <w:rsid w:val="00784578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3F2"/>
    <w:rsid w:val="007F7C68"/>
    <w:rsid w:val="008003CB"/>
    <w:rsid w:val="0080076E"/>
    <w:rsid w:val="0080284C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02E6"/>
    <w:rsid w:val="00851336"/>
    <w:rsid w:val="008535F6"/>
    <w:rsid w:val="00855A9A"/>
    <w:rsid w:val="00861AE9"/>
    <w:rsid w:val="00862B21"/>
    <w:rsid w:val="008637EC"/>
    <w:rsid w:val="00864A08"/>
    <w:rsid w:val="00865C79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793"/>
    <w:rsid w:val="008A5C30"/>
    <w:rsid w:val="008A7835"/>
    <w:rsid w:val="008B0781"/>
    <w:rsid w:val="008B090F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D029C"/>
    <w:rsid w:val="008D1D06"/>
    <w:rsid w:val="008D2A15"/>
    <w:rsid w:val="008D55CB"/>
    <w:rsid w:val="008D5ED1"/>
    <w:rsid w:val="008D6151"/>
    <w:rsid w:val="008D64FF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D31"/>
    <w:rsid w:val="0090390F"/>
    <w:rsid w:val="009055F6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556"/>
    <w:rsid w:val="00925A37"/>
    <w:rsid w:val="00925A6D"/>
    <w:rsid w:val="00925FC4"/>
    <w:rsid w:val="009261CD"/>
    <w:rsid w:val="00932015"/>
    <w:rsid w:val="00933E0B"/>
    <w:rsid w:val="00935DC1"/>
    <w:rsid w:val="00935DDD"/>
    <w:rsid w:val="00942EBD"/>
    <w:rsid w:val="009459E5"/>
    <w:rsid w:val="00946380"/>
    <w:rsid w:val="00946537"/>
    <w:rsid w:val="00950AC1"/>
    <w:rsid w:val="00950E70"/>
    <w:rsid w:val="009514D9"/>
    <w:rsid w:val="009517D1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2042"/>
    <w:rsid w:val="009E2433"/>
    <w:rsid w:val="009E2A76"/>
    <w:rsid w:val="009E3818"/>
    <w:rsid w:val="009E56CC"/>
    <w:rsid w:val="009E6FF0"/>
    <w:rsid w:val="009E73E2"/>
    <w:rsid w:val="009F029E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3409"/>
    <w:rsid w:val="00A75A95"/>
    <w:rsid w:val="00A8016E"/>
    <w:rsid w:val="00A8149C"/>
    <w:rsid w:val="00A829CE"/>
    <w:rsid w:val="00A84E14"/>
    <w:rsid w:val="00A85AC4"/>
    <w:rsid w:val="00A8740E"/>
    <w:rsid w:val="00A87832"/>
    <w:rsid w:val="00A902B6"/>
    <w:rsid w:val="00A91545"/>
    <w:rsid w:val="00A94EFF"/>
    <w:rsid w:val="00A96491"/>
    <w:rsid w:val="00A96498"/>
    <w:rsid w:val="00A977CA"/>
    <w:rsid w:val="00A97E4E"/>
    <w:rsid w:val="00AA420F"/>
    <w:rsid w:val="00AA7507"/>
    <w:rsid w:val="00AA77EA"/>
    <w:rsid w:val="00AA7E28"/>
    <w:rsid w:val="00AB05D9"/>
    <w:rsid w:val="00AB68D0"/>
    <w:rsid w:val="00AB747E"/>
    <w:rsid w:val="00AB774D"/>
    <w:rsid w:val="00AC1722"/>
    <w:rsid w:val="00AC21F3"/>
    <w:rsid w:val="00AC30C2"/>
    <w:rsid w:val="00AC539B"/>
    <w:rsid w:val="00AC5923"/>
    <w:rsid w:val="00AC634C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79C4"/>
    <w:rsid w:val="00AE7B40"/>
    <w:rsid w:val="00AE7EFF"/>
    <w:rsid w:val="00AF0FEF"/>
    <w:rsid w:val="00AF3646"/>
    <w:rsid w:val="00AF4EFD"/>
    <w:rsid w:val="00AF7B13"/>
    <w:rsid w:val="00B00634"/>
    <w:rsid w:val="00B01124"/>
    <w:rsid w:val="00B02FD8"/>
    <w:rsid w:val="00B03C08"/>
    <w:rsid w:val="00B06561"/>
    <w:rsid w:val="00B06D10"/>
    <w:rsid w:val="00B106A3"/>
    <w:rsid w:val="00B10966"/>
    <w:rsid w:val="00B11198"/>
    <w:rsid w:val="00B111E2"/>
    <w:rsid w:val="00B12CCD"/>
    <w:rsid w:val="00B14717"/>
    <w:rsid w:val="00B14B86"/>
    <w:rsid w:val="00B14F29"/>
    <w:rsid w:val="00B16BB1"/>
    <w:rsid w:val="00B172A9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40221"/>
    <w:rsid w:val="00B402E7"/>
    <w:rsid w:val="00B45A9D"/>
    <w:rsid w:val="00B46687"/>
    <w:rsid w:val="00B46A9A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37D7"/>
    <w:rsid w:val="00BB383E"/>
    <w:rsid w:val="00BB40FD"/>
    <w:rsid w:val="00BB511F"/>
    <w:rsid w:val="00BB7BE3"/>
    <w:rsid w:val="00BC0850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0E8"/>
    <w:rsid w:val="00BE2A68"/>
    <w:rsid w:val="00BE3242"/>
    <w:rsid w:val="00BE330E"/>
    <w:rsid w:val="00BE6384"/>
    <w:rsid w:val="00BE688E"/>
    <w:rsid w:val="00BE7362"/>
    <w:rsid w:val="00BE74F4"/>
    <w:rsid w:val="00BF0015"/>
    <w:rsid w:val="00BF00C9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73E3"/>
    <w:rsid w:val="00C077E9"/>
    <w:rsid w:val="00C1117D"/>
    <w:rsid w:val="00C11370"/>
    <w:rsid w:val="00C12B2D"/>
    <w:rsid w:val="00C135DB"/>
    <w:rsid w:val="00C1660A"/>
    <w:rsid w:val="00C17D5E"/>
    <w:rsid w:val="00C22608"/>
    <w:rsid w:val="00C23490"/>
    <w:rsid w:val="00C24F1D"/>
    <w:rsid w:val="00C25D82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04E3"/>
    <w:rsid w:val="00C557D4"/>
    <w:rsid w:val="00C56F30"/>
    <w:rsid w:val="00C57232"/>
    <w:rsid w:val="00C57E20"/>
    <w:rsid w:val="00C64230"/>
    <w:rsid w:val="00C64AA8"/>
    <w:rsid w:val="00C66020"/>
    <w:rsid w:val="00C67758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E066E"/>
    <w:rsid w:val="00CE2947"/>
    <w:rsid w:val="00CE31BD"/>
    <w:rsid w:val="00CE3C56"/>
    <w:rsid w:val="00CE432E"/>
    <w:rsid w:val="00CE4530"/>
    <w:rsid w:val="00CE4A32"/>
    <w:rsid w:val="00CE64BD"/>
    <w:rsid w:val="00CF2450"/>
    <w:rsid w:val="00CF2FE5"/>
    <w:rsid w:val="00CF3AB9"/>
    <w:rsid w:val="00CF57B3"/>
    <w:rsid w:val="00CF5E8C"/>
    <w:rsid w:val="00CF736D"/>
    <w:rsid w:val="00CF7C10"/>
    <w:rsid w:val="00D001C8"/>
    <w:rsid w:val="00D0164A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074F7"/>
    <w:rsid w:val="00D120AB"/>
    <w:rsid w:val="00D12F2F"/>
    <w:rsid w:val="00D13220"/>
    <w:rsid w:val="00D1326A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1CF6"/>
    <w:rsid w:val="00D32A49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22A6"/>
    <w:rsid w:val="00D82EC2"/>
    <w:rsid w:val="00D83225"/>
    <w:rsid w:val="00D84913"/>
    <w:rsid w:val="00D84927"/>
    <w:rsid w:val="00D851E6"/>
    <w:rsid w:val="00D870B2"/>
    <w:rsid w:val="00D907D4"/>
    <w:rsid w:val="00D9249E"/>
    <w:rsid w:val="00D927DA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6D05"/>
    <w:rsid w:val="00DD6F0E"/>
    <w:rsid w:val="00DE29A5"/>
    <w:rsid w:val="00DE3865"/>
    <w:rsid w:val="00DE479C"/>
    <w:rsid w:val="00DE7455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4F9D"/>
    <w:rsid w:val="00E05B35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2ACF"/>
    <w:rsid w:val="00E2378F"/>
    <w:rsid w:val="00E2496B"/>
    <w:rsid w:val="00E26ADA"/>
    <w:rsid w:val="00E26D49"/>
    <w:rsid w:val="00E3041A"/>
    <w:rsid w:val="00E3151C"/>
    <w:rsid w:val="00E35646"/>
    <w:rsid w:val="00E36B3F"/>
    <w:rsid w:val="00E400F9"/>
    <w:rsid w:val="00E407D9"/>
    <w:rsid w:val="00E416B8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5759"/>
    <w:rsid w:val="00E86A4A"/>
    <w:rsid w:val="00E9038C"/>
    <w:rsid w:val="00E90A75"/>
    <w:rsid w:val="00E90D74"/>
    <w:rsid w:val="00E93966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5E8E"/>
    <w:rsid w:val="00EA6DE7"/>
    <w:rsid w:val="00EB087C"/>
    <w:rsid w:val="00EB0EF4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760"/>
    <w:rsid w:val="00ED2F27"/>
    <w:rsid w:val="00ED3C46"/>
    <w:rsid w:val="00ED4366"/>
    <w:rsid w:val="00ED7304"/>
    <w:rsid w:val="00ED737A"/>
    <w:rsid w:val="00EE22EF"/>
    <w:rsid w:val="00EE265F"/>
    <w:rsid w:val="00EE3788"/>
    <w:rsid w:val="00EE37C8"/>
    <w:rsid w:val="00EE42BE"/>
    <w:rsid w:val="00EE449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2063"/>
    <w:rsid w:val="00F127A6"/>
    <w:rsid w:val="00F14CCD"/>
    <w:rsid w:val="00F16D75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7D82"/>
    <w:rsid w:val="00F327F1"/>
    <w:rsid w:val="00F332D6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5AC4"/>
    <w:rsid w:val="00F46DFF"/>
    <w:rsid w:val="00F52EEE"/>
    <w:rsid w:val="00F544F2"/>
    <w:rsid w:val="00F54F9A"/>
    <w:rsid w:val="00F56866"/>
    <w:rsid w:val="00F56A3B"/>
    <w:rsid w:val="00F57E79"/>
    <w:rsid w:val="00F61D58"/>
    <w:rsid w:val="00F6438F"/>
    <w:rsid w:val="00F646FD"/>
    <w:rsid w:val="00F67BC2"/>
    <w:rsid w:val="00F71AAF"/>
    <w:rsid w:val="00F71BCC"/>
    <w:rsid w:val="00F729FA"/>
    <w:rsid w:val="00F773DC"/>
    <w:rsid w:val="00F7776A"/>
    <w:rsid w:val="00F81A14"/>
    <w:rsid w:val="00F823BA"/>
    <w:rsid w:val="00F83021"/>
    <w:rsid w:val="00F830B4"/>
    <w:rsid w:val="00F8318C"/>
    <w:rsid w:val="00F832C3"/>
    <w:rsid w:val="00F832F7"/>
    <w:rsid w:val="00F83308"/>
    <w:rsid w:val="00F83F0D"/>
    <w:rsid w:val="00F85058"/>
    <w:rsid w:val="00F85301"/>
    <w:rsid w:val="00F85DD5"/>
    <w:rsid w:val="00F85FE2"/>
    <w:rsid w:val="00F90F41"/>
    <w:rsid w:val="00F911D3"/>
    <w:rsid w:val="00F9206B"/>
    <w:rsid w:val="00F954A9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F29"/>
    <w:rsid w:val="00FD50C7"/>
    <w:rsid w:val="00FD5DB5"/>
    <w:rsid w:val="00FE0E47"/>
    <w:rsid w:val="00FE0FB1"/>
    <w:rsid w:val="00FE2BE0"/>
    <w:rsid w:val="00FE2F1F"/>
    <w:rsid w:val="00FE3E6E"/>
    <w:rsid w:val="00FE626C"/>
    <w:rsid w:val="00FE66F5"/>
    <w:rsid w:val="00FF1919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BDB9-8B1C-47B0-BBE8-32D996DA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85</cp:revision>
  <cp:lastPrinted>2014-04-27T18:47:00Z</cp:lastPrinted>
  <dcterms:created xsi:type="dcterms:W3CDTF">2014-03-13T10:50:00Z</dcterms:created>
  <dcterms:modified xsi:type="dcterms:W3CDTF">2014-12-28T06:16:00Z</dcterms:modified>
</cp:coreProperties>
</file>