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863E4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863E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863E4">
        <w:rPr>
          <w:b w:val="0"/>
          <w:bCs w:val="0"/>
          <w:sz w:val="24"/>
          <w:szCs w:val="24"/>
          <w:lang w:eastAsia="en-US"/>
        </w:rPr>
        <w:t>15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B007F" w:rsidRPr="00B80247" w:rsidRDefault="006E5EC8" w:rsidP="00D5098B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9B007F" w:rsidRPr="00B80247">
        <w:t>You invest in</w:t>
      </w:r>
      <w:r w:rsidR="009B007F">
        <w:t xml:space="preserve"> a piece of equipment costing $10</w:t>
      </w:r>
      <w:r w:rsidR="009B007F" w:rsidRPr="00B80247">
        <w:t xml:space="preserve">0,000. The equipment </w:t>
      </w:r>
      <w:proofErr w:type="gramStart"/>
      <w:r w:rsidR="009B007F" w:rsidRPr="00B80247">
        <w:t>will be used</w:t>
      </w:r>
      <w:proofErr w:type="gramEnd"/>
      <w:r w:rsidR="009B007F">
        <w:t xml:space="preserve"> </w:t>
      </w:r>
      <w:r w:rsidR="009B007F" w:rsidRPr="00B80247">
        <w:t xml:space="preserve">for </w:t>
      </w:r>
      <w:r w:rsidR="009B007F">
        <w:t xml:space="preserve">three </w:t>
      </w:r>
      <w:bookmarkStart w:id="0" w:name="_GoBack"/>
      <w:r w:rsidR="009B007F">
        <w:t>years, and it will be worth $20</w:t>
      </w:r>
      <w:r w:rsidR="009B007F" w:rsidRPr="00B80247">
        <w:t xml:space="preserve">,000 at the end of </w:t>
      </w:r>
      <w:r w:rsidR="009B007F">
        <w:t>three</w:t>
      </w:r>
      <w:r w:rsidR="009B007F" w:rsidRPr="00B80247">
        <w:t xml:space="preserve"> years. The machine</w:t>
      </w:r>
      <w:r w:rsidR="009B007F">
        <w:t xml:space="preserve"> </w:t>
      </w:r>
      <w:proofErr w:type="gramStart"/>
      <w:r w:rsidR="009B007F">
        <w:t>will be used</w:t>
      </w:r>
      <w:proofErr w:type="gramEnd"/>
      <w:r w:rsidR="009B007F">
        <w:t xml:space="preserve"> for </w:t>
      </w:r>
      <w:r w:rsidR="009B007F" w:rsidRPr="00B80247">
        <w:t>4,000 hours during the first year</w:t>
      </w:r>
      <w:r w:rsidR="009B007F">
        <w:t>, 5</w:t>
      </w:r>
      <w:r w:rsidR="009B007F" w:rsidRPr="00B80247">
        <w:t xml:space="preserve">,000 hours during the </w:t>
      </w:r>
      <w:r w:rsidR="009B007F">
        <w:t>second</w:t>
      </w:r>
      <w:r w:rsidR="009B007F" w:rsidRPr="00B80247">
        <w:t xml:space="preserve"> year and 6,000 hours during the</w:t>
      </w:r>
      <w:r w:rsidR="009B007F">
        <w:t xml:space="preserve"> third year. The expected annual </w:t>
      </w:r>
      <w:r w:rsidR="009B007F" w:rsidRPr="00B80247">
        <w:t>savings associated with the use of the piece of</w:t>
      </w:r>
      <w:r w:rsidR="009B007F">
        <w:t xml:space="preserve"> </w:t>
      </w:r>
      <w:r w:rsidR="009B007F" w:rsidRPr="00B80247">
        <w:t>equipment w</w:t>
      </w:r>
      <w:r w:rsidR="009B007F">
        <w:t>ill be $30,000 for the first year, $40,000 for the second year and $50,000 for the third year</w:t>
      </w:r>
      <w:r w:rsidR="009B007F" w:rsidRPr="00B80247">
        <w:t>. Your interest rate is 10%.</w:t>
      </w:r>
    </w:p>
    <w:bookmarkEnd w:id="0"/>
    <w:p w:rsidR="009B007F" w:rsidRPr="00B80247" w:rsidRDefault="009B007F" w:rsidP="009B007F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</w:rPr>
      </w:pPr>
      <w:r w:rsidRPr="00B80247">
        <w:rPr>
          <w:kern w:val="28"/>
          <w:sz w:val="24"/>
        </w:rPr>
        <w:t>What is the capital recovery cost?</w:t>
      </w:r>
    </w:p>
    <w:p w:rsidR="009B007F" w:rsidRPr="00B80247" w:rsidRDefault="009B007F" w:rsidP="009B007F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</w:rPr>
      </w:pPr>
      <w:r w:rsidRPr="00B80247">
        <w:rPr>
          <w:kern w:val="28"/>
          <w:sz w:val="24"/>
        </w:rPr>
        <w:t>What is the annual equivalent worth?</w:t>
      </w:r>
    </w:p>
    <w:p w:rsidR="009B007F" w:rsidRPr="00B80247" w:rsidRDefault="009B007F" w:rsidP="009B007F">
      <w:pPr>
        <w:numPr>
          <w:ilvl w:val="0"/>
          <w:numId w:val="36"/>
        </w:numPr>
        <w:autoSpaceDE w:val="0"/>
        <w:autoSpaceDN w:val="0"/>
        <w:adjustRightInd w:val="0"/>
        <w:rPr>
          <w:sz w:val="24"/>
        </w:rPr>
      </w:pPr>
      <w:r w:rsidRPr="00B80247">
        <w:rPr>
          <w:sz w:val="24"/>
        </w:rPr>
        <w:t xml:space="preserve">What is </w:t>
      </w:r>
      <w:r>
        <w:rPr>
          <w:sz w:val="24"/>
        </w:rPr>
        <w:t xml:space="preserve">the </w:t>
      </w:r>
      <w:r w:rsidRPr="00B80247">
        <w:rPr>
          <w:sz w:val="24"/>
        </w:rPr>
        <w:t>net savings generated per machine-hour?</w:t>
      </w:r>
    </w:p>
    <w:p w:rsidR="006E5EC8" w:rsidRDefault="006E5EC8" w:rsidP="009B007F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9B007F" w:rsidRDefault="009B007F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4A09EE" w:rsidRDefault="004A09EE" w:rsidP="004A09EE">
      <w:pPr>
        <w:pStyle w:val="Heading1"/>
        <w:rPr>
          <w:lang w:eastAsia="en-US"/>
        </w:rPr>
      </w:pPr>
      <w:r>
        <w:rPr>
          <w:b/>
          <w:bCs/>
          <w:lang w:eastAsia="en-US"/>
        </w:rPr>
        <w:t>Q2.</w:t>
      </w:r>
      <w:r>
        <w:rPr>
          <w:lang w:eastAsia="en-US"/>
        </w:rPr>
        <w:t xml:space="preserve"> </w:t>
      </w:r>
      <w:r w:rsidRPr="006E10C5">
        <w:rPr>
          <w:lang w:eastAsia="en-US"/>
        </w:rPr>
        <w:t>Consider the following investment projects:</w:t>
      </w:r>
    </w:p>
    <w:p w:rsidR="004A09EE" w:rsidRDefault="004A09EE" w:rsidP="004A09EE">
      <w:pPr>
        <w:rPr>
          <w:lang w:eastAsia="en-US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500"/>
      </w:tblGrid>
      <w:tr w:rsidR="004A09EE" w:rsidTr="007157AF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2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-$6,0</w:t>
            </w:r>
            <w:r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</w:t>
            </w:r>
            <w:r>
              <w:rPr>
                <w:sz w:val="24"/>
              </w:rPr>
              <w:t>7</w:t>
            </w:r>
            <w:r w:rsidR="00F04A36">
              <w:rPr>
                <w:sz w:val="24"/>
              </w:rPr>
              <w:t>,5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1,</w:t>
            </w:r>
            <w:r w:rsidR="00F04A36">
              <w:rPr>
                <w:sz w:val="24"/>
              </w:rPr>
              <w:t>4</w:t>
            </w:r>
            <w:r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E10C5">
              <w:rPr>
                <w:sz w:val="24"/>
              </w:rPr>
              <w:t>,000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D9077A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F04A36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  <w:r w:rsidR="004A09EE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F04A36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09EE">
              <w:rPr>
                <w:sz w:val="24"/>
              </w:rPr>
              <w:t>,000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6E7E87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11.916</w:t>
            </w:r>
            <w:r w:rsidR="004A09EE">
              <w:rPr>
                <w:sz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F04A36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</w:t>
            </w:r>
            <w:r w:rsidR="00F04A36">
              <w:rPr>
                <w:sz w:val="24"/>
              </w:rPr>
              <w:t>0.24</w:t>
            </w:r>
            <w:r w:rsidR="006E7E87">
              <w:rPr>
                <w:sz w:val="24"/>
              </w:rPr>
              <w:t>2</w:t>
            </w:r>
            <w:r w:rsidRPr="006E10C5">
              <w:rPr>
                <w:sz w:val="24"/>
              </w:rPr>
              <w:t>%</w:t>
            </w:r>
          </w:p>
        </w:tc>
      </w:tr>
    </w:tbl>
    <w:p w:rsidR="004A09EE" w:rsidRPr="006E10C5" w:rsidRDefault="004A09EE" w:rsidP="004A09EE">
      <w:pPr>
        <w:rPr>
          <w:lang w:eastAsia="en-US"/>
        </w:rPr>
      </w:pPr>
    </w:p>
    <w:p w:rsidR="004A09EE" w:rsidRPr="006E10C5" w:rsidRDefault="004A09EE" w:rsidP="004A09EE">
      <w:pPr>
        <w:rPr>
          <w:lang w:eastAsia="en-US"/>
        </w:rPr>
      </w:pPr>
    </w:p>
    <w:p w:rsidR="004A09EE" w:rsidRPr="006E10C5" w:rsidRDefault="004A09EE" w:rsidP="004A09E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6E10C5">
        <w:rPr>
          <w:kern w:val="28"/>
          <w:sz w:val="24"/>
          <w:szCs w:val="28"/>
          <w:lang w:eastAsia="en-US"/>
        </w:rPr>
        <w:t>Determine the range of MARR for which Project 2 would be preferred over Project 1.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 w:rsidP="009B007F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6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7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20235"/>
    <w:rsid w:val="000863E4"/>
    <w:rsid w:val="000A35A3"/>
    <w:rsid w:val="000E0798"/>
    <w:rsid w:val="00103CA6"/>
    <w:rsid w:val="00116BB4"/>
    <w:rsid w:val="001204B8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4A09EE"/>
    <w:rsid w:val="005202B0"/>
    <w:rsid w:val="00521CA8"/>
    <w:rsid w:val="005F5FFA"/>
    <w:rsid w:val="00601058"/>
    <w:rsid w:val="00624DB6"/>
    <w:rsid w:val="0064139B"/>
    <w:rsid w:val="006E5EC8"/>
    <w:rsid w:val="006E7E87"/>
    <w:rsid w:val="006E7F41"/>
    <w:rsid w:val="00700235"/>
    <w:rsid w:val="0075087F"/>
    <w:rsid w:val="00796BDB"/>
    <w:rsid w:val="0082663D"/>
    <w:rsid w:val="00874C4A"/>
    <w:rsid w:val="00923D31"/>
    <w:rsid w:val="009752D3"/>
    <w:rsid w:val="009B007F"/>
    <w:rsid w:val="00A00E43"/>
    <w:rsid w:val="00A4158B"/>
    <w:rsid w:val="00AA7D5D"/>
    <w:rsid w:val="00AC446C"/>
    <w:rsid w:val="00AE7289"/>
    <w:rsid w:val="00AE7913"/>
    <w:rsid w:val="00B55706"/>
    <w:rsid w:val="00B63F24"/>
    <w:rsid w:val="00BA4417"/>
    <w:rsid w:val="00BE5922"/>
    <w:rsid w:val="00C57BFA"/>
    <w:rsid w:val="00CA0118"/>
    <w:rsid w:val="00CB3392"/>
    <w:rsid w:val="00D5098B"/>
    <w:rsid w:val="00D6521C"/>
    <w:rsid w:val="00DE6F03"/>
    <w:rsid w:val="00DF3DFB"/>
    <w:rsid w:val="00E012DA"/>
    <w:rsid w:val="00E12FF8"/>
    <w:rsid w:val="00E84697"/>
    <w:rsid w:val="00EA2D9D"/>
    <w:rsid w:val="00ED1301"/>
    <w:rsid w:val="00F04A36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26</cp:revision>
  <cp:lastPrinted>2013-09-18T09:21:00Z</cp:lastPrinted>
  <dcterms:created xsi:type="dcterms:W3CDTF">2014-02-08T18:20:00Z</dcterms:created>
  <dcterms:modified xsi:type="dcterms:W3CDTF">2016-08-12T20:10:00Z</dcterms:modified>
</cp:coreProperties>
</file>